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560" w:lineRule="exact"/>
        <w:textAlignment w:val="auto"/>
        <w:rPr>
          <w:rFonts w:hint="default" w:ascii="黑体" w:eastAsia="黑体" w:cs="黑体"/>
          <w:color w:val="auto"/>
          <w:sz w:val="32"/>
          <w:szCs w:val="32"/>
          <w:highlight w:val="none"/>
          <w:shd w:val="clear" w:color="auto" w:fill="auto"/>
          <w:lang w:bidi="ar-SA"/>
        </w:rPr>
      </w:pPr>
      <w:r>
        <w:rPr>
          <w:rFonts w:hint="eastAsia" w:ascii="黑体" w:eastAsia="黑体" w:cs="黑体"/>
          <w:color w:val="auto"/>
          <w:sz w:val="32"/>
          <w:szCs w:val="32"/>
          <w:highlight w:val="none"/>
          <w:shd w:val="clear" w:color="auto" w:fill="auto"/>
          <w:lang w:bidi="ar-SA"/>
        </w:rPr>
        <w:t>附件</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s="方正小标宋简体"/>
          <w:color w:val="auto"/>
          <w:sz w:val="44"/>
          <w:szCs w:val="44"/>
          <w:highlight w:val="none"/>
          <w:shd w:val="clear" w:color="auto" w:fill="auto"/>
          <w:lang w:bidi="ar-SA"/>
        </w:rPr>
      </w:pP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s="方正小标宋简体"/>
          <w:color w:val="auto"/>
          <w:sz w:val="44"/>
          <w:szCs w:val="44"/>
          <w:highlight w:val="none"/>
          <w:shd w:val="clear" w:color="auto" w:fill="auto"/>
          <w:lang w:bidi="ar-SA"/>
        </w:rPr>
      </w:pPr>
      <w:r>
        <w:rPr>
          <w:rFonts w:ascii="方正小标宋简体" w:eastAsia="方正小标宋简体" w:cs="方正小标宋简体"/>
          <w:color w:val="auto"/>
          <w:sz w:val="44"/>
          <w:szCs w:val="44"/>
          <w:highlight w:val="none"/>
          <w:shd w:val="clear" w:color="auto" w:fill="auto"/>
          <w:lang w:bidi="ar-SA"/>
        </w:rPr>
        <w:t>2026</w:t>
      </w:r>
      <w:r>
        <w:rPr>
          <w:rFonts w:hint="eastAsia" w:ascii="方正小标宋简体" w:eastAsia="方正小标宋简体" w:cs="方正小标宋简体"/>
          <w:color w:val="auto"/>
          <w:sz w:val="44"/>
          <w:szCs w:val="44"/>
          <w:highlight w:val="none"/>
          <w:shd w:val="clear" w:color="auto" w:fill="auto"/>
          <w:lang w:bidi="ar-SA"/>
        </w:rPr>
        <w:t>年度黑龙江省自然科学基金</w:t>
      </w:r>
    </w:p>
    <w:p>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hint="eastAsia" w:ascii="方正小标宋简体" w:eastAsia="方正小标宋简体" w:cs="方正小标宋简体"/>
          <w:color w:val="auto"/>
          <w:sz w:val="44"/>
          <w:szCs w:val="44"/>
          <w:highlight w:val="none"/>
          <w:shd w:val="clear" w:color="auto" w:fill="auto"/>
          <w:lang w:bidi="ar-SA"/>
        </w:rPr>
      </w:pPr>
      <w:r>
        <w:rPr>
          <w:rFonts w:hint="eastAsia" w:ascii="方正小标宋简体" w:eastAsia="方正小标宋简体" w:cs="方正小标宋简体"/>
          <w:color w:val="auto"/>
          <w:sz w:val="44"/>
          <w:szCs w:val="44"/>
          <w:highlight w:val="none"/>
          <w:shd w:val="clear" w:color="auto" w:fill="auto"/>
          <w:lang w:bidi="ar-SA"/>
        </w:rPr>
        <w:t>校（院）企合作项目申报指南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shd w:val="clear" w:color="auto" w:fill="auto"/>
        </w:rPr>
      </w:pP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shd w:val="clear" w:color="auto" w:fill="auto"/>
        </w:rPr>
      </w:pPr>
      <w:r>
        <w:rPr>
          <w:rFonts w:hint="eastAsia" w:ascii="仿宋_GB2312" w:eastAsia="仿宋_GB2312"/>
          <w:color w:val="auto"/>
          <w:sz w:val="32"/>
          <w:szCs w:val="32"/>
          <w:highlight w:val="none"/>
          <w:shd w:val="clear" w:color="auto" w:fill="auto"/>
        </w:rPr>
        <w:t>依托单位和申请人申请</w:t>
      </w:r>
      <w:r>
        <w:rPr>
          <w:rFonts w:ascii="仿宋_GB2312" w:eastAsia="仿宋_GB2312"/>
          <w:color w:val="auto"/>
          <w:sz w:val="32"/>
          <w:szCs w:val="32"/>
          <w:highlight w:val="none"/>
          <w:shd w:val="clear" w:color="auto" w:fill="auto"/>
        </w:rPr>
        <w:t>2026</w:t>
      </w:r>
      <w:r>
        <w:rPr>
          <w:rFonts w:hint="eastAsia" w:ascii="仿宋_GB2312" w:eastAsia="仿宋_GB2312"/>
          <w:color w:val="auto"/>
          <w:sz w:val="32"/>
          <w:szCs w:val="32"/>
          <w:highlight w:val="none"/>
          <w:shd w:val="clear" w:color="auto" w:fill="auto"/>
        </w:rPr>
        <w:t>年度省自然科学基金</w:t>
      </w:r>
      <w:r>
        <w:rPr>
          <w:rFonts w:hint="default" w:ascii="仿宋_GB2312" w:eastAsia="仿宋_GB2312"/>
          <w:color w:val="auto"/>
          <w:sz w:val="32"/>
          <w:szCs w:val="32"/>
          <w:highlight w:val="none"/>
          <w:shd w:val="clear" w:color="auto" w:fill="auto"/>
        </w:rPr>
        <w:t>校（院）企合作</w:t>
      </w:r>
      <w:r>
        <w:rPr>
          <w:rFonts w:hint="eastAsia" w:ascii="仿宋_GB2312" w:eastAsia="仿宋_GB2312"/>
          <w:color w:val="auto"/>
          <w:sz w:val="32"/>
          <w:szCs w:val="32"/>
          <w:highlight w:val="none"/>
          <w:shd w:val="clear" w:color="auto" w:fill="auto"/>
        </w:rPr>
        <w:t>项目，应当首先认真阅读《黑龙江省自然科学基金管理办法》（黑科规〔20</w:t>
      </w:r>
      <w:r>
        <w:rPr>
          <w:rFonts w:ascii="仿宋_GB2312" w:eastAsia="仿宋_GB2312"/>
          <w:color w:val="auto"/>
          <w:sz w:val="32"/>
          <w:szCs w:val="32"/>
          <w:highlight w:val="none"/>
          <w:shd w:val="clear" w:color="auto" w:fill="auto"/>
        </w:rPr>
        <w:t>25</w:t>
      </w:r>
      <w:r>
        <w:rPr>
          <w:rFonts w:hint="eastAsia" w:ascii="仿宋_GB2312" w:eastAsia="仿宋_GB2312"/>
          <w:color w:val="auto"/>
          <w:sz w:val="32"/>
          <w:szCs w:val="32"/>
          <w:highlight w:val="none"/>
          <w:shd w:val="clear" w:color="auto" w:fill="auto"/>
        </w:rPr>
        <w:t>〕</w:t>
      </w:r>
      <w:r>
        <w:rPr>
          <w:rFonts w:ascii="仿宋_GB2312" w:eastAsia="仿宋_GB2312"/>
          <w:color w:val="auto"/>
          <w:sz w:val="32"/>
          <w:szCs w:val="32"/>
          <w:highlight w:val="none"/>
          <w:shd w:val="clear" w:color="auto" w:fill="auto"/>
        </w:rPr>
        <w:t>2</w:t>
      </w:r>
      <w:r>
        <w:rPr>
          <w:rFonts w:hint="eastAsia" w:ascii="仿宋_GB2312" w:eastAsia="仿宋_GB2312"/>
          <w:color w:val="auto"/>
          <w:sz w:val="32"/>
          <w:szCs w:val="32"/>
          <w:highlight w:val="none"/>
          <w:shd w:val="clear" w:color="auto" w:fill="auto"/>
        </w:rPr>
        <w:t>号</w:t>
      </w:r>
      <w:r>
        <w:rPr>
          <w:rFonts w:ascii="仿宋_GB2312" w:eastAsia="仿宋_GB2312"/>
          <w:color w:val="auto"/>
          <w:sz w:val="32"/>
          <w:szCs w:val="32"/>
          <w:highlight w:val="none"/>
          <w:shd w:val="clear" w:color="auto" w:fill="auto"/>
        </w:rPr>
        <w:t>）</w:t>
      </w:r>
      <w:r>
        <w:rPr>
          <w:rFonts w:hint="eastAsia" w:ascii="仿宋_GB2312" w:eastAsia="仿宋_GB2312"/>
          <w:color w:val="auto"/>
          <w:sz w:val="32"/>
          <w:szCs w:val="32"/>
          <w:highlight w:val="none"/>
          <w:shd w:val="clear" w:color="auto" w:fill="auto"/>
        </w:rPr>
        <w:t>，以下简称《办法》）和本《指南》，以及本年度申报通知。现行项目管理规定与《办法》和本《指南》有冲突的，以《办法》和本《指南》为准。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eastAsia="黑体"/>
          <w:b w:val="0"/>
          <w:bCs w:val="0"/>
          <w:color w:val="auto"/>
          <w:sz w:val="32"/>
          <w:szCs w:val="32"/>
          <w:highlight w:val="none"/>
          <w:shd w:val="clear" w:color="auto" w:fill="auto"/>
        </w:rPr>
      </w:pPr>
      <w:r>
        <w:rPr>
          <w:rFonts w:hint="eastAsia" w:ascii="仿宋_GB2312" w:eastAsia="仿宋_GB2312"/>
          <w:color w:val="auto"/>
          <w:sz w:val="32"/>
          <w:szCs w:val="32"/>
          <w:highlight w:val="none"/>
          <w:shd w:val="clear" w:color="auto" w:fill="auto"/>
        </w:rPr>
        <w:t xml:space="preserve"> </w:t>
      </w:r>
      <w:r>
        <w:rPr>
          <w:rFonts w:hint="eastAsia" w:ascii="黑体" w:eastAsia="黑体"/>
          <w:b w:val="0"/>
          <w:bCs w:val="0"/>
          <w:color w:val="auto"/>
          <w:sz w:val="32"/>
          <w:szCs w:val="32"/>
          <w:highlight w:val="none"/>
          <w:shd w:val="clear" w:color="auto" w:fill="auto"/>
        </w:rPr>
        <w:t>一、资助原则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rPr>
      </w:pPr>
      <w:r>
        <w:rPr>
          <w:rFonts w:hint="eastAsia" w:ascii="楷体_GB2312" w:eastAsia="楷体_GB2312"/>
          <w:color w:val="auto"/>
          <w:sz w:val="32"/>
          <w:szCs w:val="32"/>
          <w:highlight w:val="none"/>
        </w:rPr>
        <w:t>（一）</w:t>
      </w:r>
      <w:r>
        <w:rPr>
          <w:rFonts w:hint="eastAsia" w:ascii="楷体_GB2312" w:eastAsia="楷体_GB2312"/>
          <w:color w:val="auto"/>
          <w:sz w:val="32"/>
          <w:szCs w:val="32"/>
          <w:highlight w:val="none"/>
          <w:lang w:val="en-US" w:eastAsia="zh-CN"/>
        </w:rPr>
        <w:t>强化目标导向和需求牵引</w:t>
      </w:r>
      <w:r>
        <w:rPr>
          <w:rFonts w:hint="default" w:ascii="楷体_GB2312" w:eastAsia="楷体_GB2312"/>
          <w:color w:val="auto"/>
          <w:sz w:val="32"/>
          <w:szCs w:val="32"/>
          <w:highlight w:val="none"/>
          <w:lang w:eastAsia="zh-CN"/>
        </w:rPr>
        <w:t>原则</w:t>
      </w:r>
      <w:r>
        <w:rPr>
          <w:rFonts w:hint="eastAsia" w:ascii="楷体_GB2312" w:eastAsia="楷体_GB2312"/>
          <w:color w:val="auto"/>
          <w:sz w:val="32"/>
          <w:szCs w:val="32"/>
          <w:highlight w:val="none"/>
        </w:rPr>
        <w:t>。</w:t>
      </w:r>
      <w:r>
        <w:rPr>
          <w:rFonts w:hint="eastAsia" w:ascii="仿宋_GB2312" w:eastAsia="仿宋_GB2312"/>
          <w:color w:val="auto"/>
          <w:sz w:val="32"/>
          <w:szCs w:val="32"/>
          <w:highlight w:val="none"/>
        </w:rPr>
        <w:t>以国家战略和我省高质量发展需求为基础研究方向，支持高校、科研院所选派</w:t>
      </w:r>
      <w:r>
        <w:rPr>
          <w:rFonts w:hint="eastAsia" w:ascii="仿宋_GB2312" w:eastAsia="仿宋_GB2312"/>
          <w:color w:val="auto"/>
          <w:sz w:val="32"/>
          <w:szCs w:val="32"/>
          <w:highlight w:val="none"/>
          <w:lang w:eastAsia="zh-CN"/>
        </w:rPr>
        <w:t>科研人员入驻企业担任</w:t>
      </w:r>
      <w:r>
        <w:rPr>
          <w:rFonts w:hint="eastAsia" w:ascii="仿宋_GB2312" w:eastAsia="仿宋_GB2312"/>
          <w:color w:val="auto"/>
          <w:sz w:val="32"/>
          <w:szCs w:val="32"/>
          <w:highlight w:val="none"/>
        </w:rPr>
        <w:t>科技总师，围绕入驻企业创新发展紧迫需求，凝练关键科学问题和技术难题，开展前瞻性、创新性应用基础研究和前沿技术研究。解决我省经济社会发展中面临的重大科学问题和关键技术难题，引领支撑新质生产力发展。</w:t>
      </w:r>
    </w:p>
    <w:p>
      <w:pPr>
        <w:keepNext w:val="0"/>
        <w:keepLines w:val="0"/>
        <w:pageBreakBefore w:val="0"/>
        <w:widowControl/>
        <w:suppressLineNumbers w:val="0"/>
        <w:kinsoku/>
        <w:wordWrap/>
        <w:overflowPunct/>
        <w:topLinePunct w:val="0"/>
        <w:autoSpaceDE/>
        <w:autoSpaceDN/>
        <w:bidi w:val="0"/>
        <w:adjustRightInd/>
        <w:snapToGrid/>
        <w:spacing w:line="560" w:lineRule="exact"/>
        <w:jc w:val="left"/>
        <w:textAlignment w:val="auto"/>
        <w:rPr>
          <w:rFonts w:hint="default" w:ascii="仿宋_GB2312" w:eastAsia="仿宋_GB2312"/>
          <w:color w:val="auto"/>
          <w:sz w:val="32"/>
          <w:szCs w:val="32"/>
          <w:highlight w:val="none"/>
        </w:rPr>
      </w:pPr>
      <w:r>
        <w:rPr>
          <w:rFonts w:hint="eastAsia" w:ascii="楷体_GB2312" w:eastAsia="楷体_GB2312"/>
          <w:color w:val="auto"/>
          <w:sz w:val="32"/>
          <w:szCs w:val="32"/>
          <w:highlight w:val="none"/>
        </w:rPr>
        <w:t xml:space="preserve">    （二）坚持聚焦培养科技人才的原则。</w:t>
      </w:r>
      <w:r>
        <w:rPr>
          <w:rFonts w:hint="eastAsia" w:ascii="仿宋_GB2312" w:eastAsia="仿宋_GB2312"/>
          <w:color w:val="auto"/>
          <w:sz w:val="32"/>
          <w:szCs w:val="32"/>
          <w:highlight w:val="none"/>
        </w:rPr>
        <w:t>围绕落实人才强省建设，发挥好省自然科学基金对人才的引导培育作用，</w:t>
      </w:r>
      <w:r>
        <w:rPr>
          <w:rFonts w:hint="default" w:ascii="仿宋_GB2312" w:eastAsia="仿宋_GB2312"/>
          <w:color w:val="auto"/>
          <w:sz w:val="32"/>
          <w:szCs w:val="32"/>
          <w:highlight w:val="none"/>
        </w:rPr>
        <w:t>培养一批</w:t>
      </w:r>
      <w:r>
        <w:rPr>
          <w:rFonts w:hint="eastAsia" w:ascii="仿宋_GB2312" w:eastAsia="仿宋_GB2312"/>
          <w:color w:val="auto"/>
          <w:sz w:val="32"/>
          <w:szCs w:val="32"/>
          <w:highlight w:val="none"/>
          <w:lang w:val="en-US" w:eastAsia="zh-CN"/>
        </w:rPr>
        <w:t>能深入企业一线、攻克产业关键技术、推动科技成果产业化的复合型科技创新人才</w:t>
      </w:r>
      <w:r>
        <w:rPr>
          <w:rFonts w:hint="eastAsia" w:ascii="仿宋_GB2312" w:eastAsia="仿宋_GB2312"/>
          <w:color w:val="auto"/>
          <w:sz w:val="32"/>
          <w:szCs w:val="32"/>
          <w:highlight w:val="none"/>
        </w:rPr>
        <w:t>。</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eastAsia="仿宋_GB2312"/>
          <w:color w:val="auto"/>
          <w:sz w:val="32"/>
          <w:szCs w:val="32"/>
          <w:highlight w:val="none"/>
        </w:rPr>
      </w:pPr>
      <w:r>
        <w:rPr>
          <w:rFonts w:hint="eastAsia" w:ascii="楷体_GB2312" w:eastAsia="楷体_GB2312"/>
          <w:color w:val="auto"/>
          <w:sz w:val="32"/>
          <w:szCs w:val="32"/>
          <w:highlight w:val="none"/>
        </w:rPr>
        <w:t xml:space="preserve">    （三）坚持公开公平公正的原则。</w:t>
      </w:r>
      <w:r>
        <w:rPr>
          <w:rFonts w:hint="eastAsia" w:ascii="仿宋_GB2312" w:eastAsia="仿宋_GB2312"/>
          <w:color w:val="auto"/>
          <w:sz w:val="32"/>
          <w:szCs w:val="32"/>
          <w:highlight w:val="none"/>
        </w:rPr>
        <w:t>认真落实“科技办事不求人”要求，严格执行《黑龙江省自然科学基金管理办法》《黑龙江省自然科学基金评审规则（试行）》有关规定，坚持公平公正评审，把专家评审意见作为遴选项目的基本依据和重要参考。坚持立项结果公开，未得到资助的申请者可查询专家评审意见。</w:t>
      </w:r>
    </w:p>
    <w:p>
      <w:pPr>
        <w:keepNext w:val="0"/>
        <w:keepLines w:val="0"/>
        <w:pageBreakBefore w:val="0"/>
        <w:kinsoku/>
        <w:wordWrap/>
        <w:overflowPunct/>
        <w:topLinePunct w:val="0"/>
        <w:autoSpaceDE/>
        <w:autoSpaceDN/>
        <w:bidi w:val="0"/>
        <w:adjustRightInd/>
        <w:snapToGrid/>
        <w:spacing w:line="560" w:lineRule="exact"/>
        <w:ind w:firstLine="642"/>
        <w:textAlignment w:val="auto"/>
        <w:rPr>
          <w:rFonts w:hint="eastAsia" w:ascii="仿宋_GB2312" w:hAnsi="仿宋_GB2312" w:eastAsia="仿宋_GB2312" w:cs="仿宋_GB2312"/>
          <w:color w:val="auto"/>
          <w:sz w:val="32"/>
          <w:szCs w:val="32"/>
          <w:highlight w:val="none"/>
        </w:rPr>
      </w:pPr>
      <w:r>
        <w:rPr>
          <w:rFonts w:hint="eastAsia" w:ascii="楷体_GB2312" w:eastAsia="楷体_GB2312"/>
          <w:color w:val="auto"/>
          <w:sz w:val="32"/>
          <w:szCs w:val="32"/>
          <w:highlight w:val="none"/>
        </w:rPr>
        <w:t>（四）坚持围绕发展重点的原则。</w:t>
      </w:r>
      <w:r>
        <w:rPr>
          <w:rFonts w:hint="eastAsia" w:ascii="仿宋_GB2312" w:hAnsi="仿宋_GB2312" w:eastAsia="仿宋_GB2312" w:cs="仿宋_GB2312"/>
          <w:color w:val="auto"/>
          <w:sz w:val="32"/>
          <w:szCs w:val="32"/>
          <w:highlight w:val="none"/>
        </w:rPr>
        <w:t>围绕加快</w:t>
      </w:r>
      <w:r>
        <w:rPr>
          <w:rFonts w:hint="eastAsia" w:ascii="仿宋_GB2312" w:hAnsi="仿宋_GB2312" w:eastAsia="仿宋_GB2312" w:cs="仿宋_GB2312"/>
          <w:color w:val="auto"/>
          <w:sz w:val="32"/>
          <w:szCs w:val="32"/>
          <w:highlight w:val="none"/>
          <w:u w:val="none"/>
          <w:lang w:bidi="ar-SA"/>
        </w:rPr>
        <w:t>发展新质生产力，</w:t>
      </w:r>
      <w:r>
        <w:rPr>
          <w:rFonts w:hint="eastAsia" w:ascii="仿宋_GB2312" w:hAnsi="仿宋_GB2312" w:eastAsia="仿宋_GB2312" w:cs="仿宋_GB2312"/>
          <w:color w:val="auto"/>
          <w:sz w:val="32"/>
          <w:szCs w:val="32"/>
          <w:highlight w:val="none"/>
        </w:rPr>
        <w:t>优先支持“十五五”期间重点打造的12个千亿级特色产业集群及一批百亿级新兴产业集群</w:t>
      </w:r>
      <w:r>
        <w:rPr>
          <w:rFonts w:hint="eastAsia" w:ascii="仿宋_GB2312" w:hAnsi="仿宋_GB2312" w:eastAsia="仿宋_GB2312" w:cs="仿宋_GB2312"/>
          <w:color w:val="auto"/>
          <w:sz w:val="32"/>
          <w:szCs w:val="32"/>
          <w:highlight w:val="none"/>
          <w:lang w:bidi="ar-SA"/>
        </w:rPr>
        <w:t>重</w:t>
      </w:r>
      <w:r>
        <w:rPr>
          <w:rFonts w:hint="eastAsia" w:ascii="仿宋_GB2312" w:hAnsi="仿宋_GB2312" w:eastAsia="仿宋_GB2312" w:cs="仿宋_GB2312"/>
          <w:color w:val="auto"/>
          <w:sz w:val="32"/>
          <w:szCs w:val="32"/>
          <w:highlight w:val="none"/>
          <w:u w:val="none"/>
          <w:lang w:bidi="ar-SA"/>
        </w:rPr>
        <w:t>大需求</w:t>
      </w:r>
      <w:r>
        <w:rPr>
          <w:rFonts w:hint="eastAsia" w:ascii="仿宋_GB2312" w:hAnsi="仿宋_GB2312" w:eastAsia="仿宋_GB2312" w:cs="仿宋_GB2312"/>
          <w:color w:val="auto"/>
          <w:sz w:val="32"/>
          <w:szCs w:val="32"/>
          <w:highlight w:val="none"/>
          <w:u w:val="none"/>
        </w:rPr>
        <w:t>，</w:t>
      </w:r>
      <w:r>
        <w:rPr>
          <w:rFonts w:hint="eastAsia" w:ascii="仿宋_GB2312" w:hAnsi="仿宋_GB2312" w:eastAsia="仿宋_GB2312" w:cs="仿宋_GB2312"/>
          <w:color w:val="auto"/>
          <w:sz w:val="32"/>
          <w:szCs w:val="32"/>
          <w:highlight w:val="none"/>
        </w:rPr>
        <w:t>开展应用基础研究和关键技术研究。</w:t>
      </w:r>
    </w:p>
    <w:p>
      <w:pPr>
        <w:keepNext w:val="0"/>
        <w:keepLines w:val="0"/>
        <w:pageBreakBefore w:val="0"/>
        <w:kinsoku/>
        <w:wordWrap/>
        <w:overflowPunct/>
        <w:topLinePunct w:val="0"/>
        <w:autoSpaceDE/>
        <w:autoSpaceDN/>
        <w:bidi w:val="0"/>
        <w:adjustRightInd/>
        <w:snapToGrid/>
        <w:spacing w:line="560" w:lineRule="exact"/>
        <w:textAlignment w:val="auto"/>
        <w:rPr>
          <w:rFonts w:hint="eastAsia" w:ascii="仿宋_GB2312" w:eastAsia="仿宋_GB2312"/>
          <w:color w:val="auto"/>
          <w:sz w:val="32"/>
          <w:szCs w:val="32"/>
          <w:highlight w:val="none"/>
        </w:rPr>
      </w:pPr>
      <w:r>
        <w:rPr>
          <w:rFonts w:hint="eastAsia" w:ascii="楷体_GB2312" w:eastAsia="楷体_GB2312"/>
          <w:b/>
          <w:color w:val="auto"/>
          <w:sz w:val="32"/>
          <w:szCs w:val="32"/>
          <w:highlight w:val="none"/>
        </w:rPr>
        <w:t xml:space="preserve">   </w:t>
      </w:r>
      <w:r>
        <w:rPr>
          <w:rFonts w:hint="eastAsia" w:ascii="楷体_GB2312" w:eastAsia="楷体_GB2312"/>
          <w:color w:val="auto"/>
          <w:sz w:val="32"/>
          <w:szCs w:val="32"/>
          <w:highlight w:val="none"/>
        </w:rPr>
        <w:t xml:space="preserve"> （五）坚持分类和差额遴选的原则。</w:t>
      </w:r>
      <w:r>
        <w:rPr>
          <w:rFonts w:hint="eastAsia" w:ascii="仿宋_GB2312" w:eastAsia="仿宋_GB2312"/>
          <w:color w:val="auto"/>
          <w:sz w:val="32"/>
          <w:szCs w:val="32"/>
          <w:highlight w:val="none"/>
        </w:rPr>
        <w:t>根据不同类型基金项目，采取不同遴选比例范围和方法；同类基金项目按照成绩由高到低排序，择优遴选。对已获得国家自然科学基金</w:t>
      </w:r>
      <w:r>
        <w:rPr>
          <w:rFonts w:hint="default" w:ascii="仿宋_GB2312" w:eastAsia="仿宋_GB2312"/>
          <w:color w:val="auto"/>
          <w:sz w:val="32"/>
          <w:szCs w:val="32"/>
          <w:highlight w:val="none"/>
        </w:rPr>
        <w:t>等各级科技计划项目</w:t>
      </w:r>
      <w:r>
        <w:rPr>
          <w:rFonts w:hint="eastAsia" w:ascii="仿宋_GB2312" w:eastAsia="仿宋_GB2312"/>
          <w:color w:val="auto"/>
          <w:sz w:val="32"/>
          <w:szCs w:val="32"/>
          <w:highlight w:val="none"/>
        </w:rPr>
        <w:t>立项的相同相似项目，不得再申报推荐。</w:t>
      </w:r>
    </w:p>
    <w:p>
      <w:pPr>
        <w:keepNext w:val="0"/>
        <w:keepLines w:val="0"/>
        <w:pageBreakBefore w:val="0"/>
        <w:kinsoku/>
        <w:wordWrap/>
        <w:overflowPunct/>
        <w:topLinePunct w:val="0"/>
        <w:autoSpaceDE/>
        <w:autoSpaceDN/>
        <w:bidi w:val="0"/>
        <w:adjustRightInd/>
        <w:snapToGrid/>
        <w:spacing w:line="560" w:lineRule="exact"/>
        <w:ind w:firstLine="640"/>
        <w:textAlignment w:val="auto"/>
        <w:rPr>
          <w:rFonts w:hint="eastAsia" w:ascii="仿宋_GB2312" w:eastAsia="仿宋_GB2312"/>
          <w:color w:val="auto"/>
          <w:sz w:val="32"/>
          <w:szCs w:val="32"/>
          <w:highlight w:val="none"/>
        </w:rPr>
      </w:pPr>
      <w:r>
        <w:rPr>
          <w:rFonts w:hint="eastAsia" w:ascii="楷体_GB2312" w:eastAsia="楷体_GB2312"/>
          <w:color w:val="auto"/>
          <w:sz w:val="32"/>
          <w:szCs w:val="32"/>
          <w:highlight w:val="none"/>
        </w:rPr>
        <w:t>（六）坚持统筹考虑与适度倾斜的原则。</w:t>
      </w:r>
      <w:r>
        <w:rPr>
          <w:rFonts w:hint="eastAsia" w:ascii="仿宋_GB2312" w:eastAsia="仿宋_GB2312"/>
          <w:color w:val="auto"/>
          <w:sz w:val="32"/>
          <w:szCs w:val="32"/>
          <w:highlight w:val="none"/>
        </w:rPr>
        <w:t>结合我省人才现状和稳定人才需求，注重考虑量子科技、人工智能、生物制造、新材料、能源装备、航空航天、现代种业、集成电路、工业母机、高端仪器、重型装备等11个重点领域，</w:t>
      </w:r>
      <w:r>
        <w:rPr>
          <w:rFonts w:hint="eastAsia" w:ascii="仿宋_GB2312" w:eastAsia="仿宋_GB2312"/>
          <w:color w:val="auto"/>
          <w:sz w:val="32"/>
          <w:szCs w:val="32"/>
          <w:highlight w:val="none"/>
          <w:shd w:val="clear" w:color="auto" w:fill="auto"/>
        </w:rPr>
        <w:t>以及</w:t>
      </w:r>
      <w:r>
        <w:rPr>
          <w:rFonts w:hint="eastAsia" w:ascii="仿宋_GB2312" w:eastAsia="仿宋_GB2312"/>
          <w:color w:val="auto"/>
          <w:sz w:val="32"/>
          <w:szCs w:val="32"/>
          <w:highlight w:val="none"/>
        </w:rPr>
        <w:t>优势学科、区域平衡，加强对偏远地区高校、省属科研院所、医院和科技型企业的支持，在立项上给予适度倾斜。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eastAsia="黑体"/>
          <w:color w:val="auto"/>
          <w:sz w:val="32"/>
          <w:szCs w:val="32"/>
          <w:highlight w:val="none"/>
          <w:shd w:val="clear" w:color="auto" w:fill="auto"/>
        </w:rPr>
      </w:pPr>
      <w:r>
        <w:rPr>
          <w:rFonts w:hint="eastAsia" w:ascii="黑体" w:eastAsia="黑体"/>
          <w:b w:val="0"/>
          <w:bCs w:val="0"/>
          <w:color w:val="auto"/>
          <w:sz w:val="32"/>
          <w:szCs w:val="32"/>
          <w:highlight w:val="none"/>
          <w:shd w:val="clear" w:color="auto" w:fill="auto"/>
        </w:rPr>
        <w:t>二、</w:t>
      </w:r>
      <w:r>
        <w:rPr>
          <w:rFonts w:hint="eastAsia" w:ascii="黑体" w:eastAsia="黑体"/>
          <w:color w:val="auto"/>
          <w:sz w:val="32"/>
          <w:szCs w:val="32"/>
          <w:highlight w:val="none"/>
          <w:shd w:val="clear" w:color="auto" w:fill="auto"/>
        </w:rPr>
        <w:t>重点资助</w:t>
      </w:r>
      <w:r>
        <w:rPr>
          <w:rFonts w:ascii="黑体" w:eastAsia="黑体"/>
          <w:color w:val="auto"/>
          <w:sz w:val="32"/>
          <w:szCs w:val="32"/>
          <w:highlight w:val="none"/>
          <w:shd w:val="clear" w:color="auto" w:fill="auto"/>
        </w:rPr>
        <w:t>领域和研究</w:t>
      </w:r>
      <w:r>
        <w:rPr>
          <w:rFonts w:hint="eastAsia" w:ascii="黑体" w:eastAsia="黑体"/>
          <w:color w:val="auto"/>
          <w:sz w:val="32"/>
          <w:szCs w:val="32"/>
          <w:highlight w:val="none"/>
          <w:shd w:val="clear" w:color="auto" w:fill="auto"/>
        </w:rPr>
        <w:t>方向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lang w:eastAsia="zh-CN"/>
        </w:rPr>
      </w:pPr>
      <w:r>
        <w:rPr>
          <w:rFonts w:hint="eastAsia" w:ascii="仿宋_GB2312" w:eastAsia="仿宋_GB2312"/>
          <w:color w:val="auto"/>
          <w:sz w:val="32"/>
          <w:szCs w:val="32"/>
          <w:highlight w:val="none"/>
          <w:shd w:val="clear" w:color="auto" w:fill="auto"/>
        </w:rPr>
        <w:t>省自然科学基金</w:t>
      </w:r>
      <w:r>
        <w:rPr>
          <w:rFonts w:ascii="仿宋_GB2312" w:eastAsia="仿宋_GB2312"/>
          <w:b w:val="0"/>
          <w:bCs w:val="0"/>
          <w:color w:val="auto"/>
          <w:sz w:val="32"/>
          <w:szCs w:val="32"/>
          <w:highlight w:val="none"/>
          <w:u w:val="none"/>
          <w:shd w:val="clear" w:color="auto" w:fill="auto"/>
        </w:rPr>
        <w:t>强化</w:t>
      </w:r>
      <w:r>
        <w:rPr>
          <w:rFonts w:hint="eastAsia" w:ascii="仿宋_GB2312" w:eastAsia="仿宋_GB2312"/>
          <w:b w:val="0"/>
          <w:bCs w:val="0"/>
          <w:color w:val="auto"/>
          <w:sz w:val="32"/>
          <w:szCs w:val="32"/>
          <w:highlight w:val="none"/>
          <w:u w:val="none"/>
          <w:shd w:val="clear" w:color="auto" w:fill="auto"/>
        </w:rPr>
        <w:t>需求导向</w:t>
      </w:r>
      <w:r>
        <w:rPr>
          <w:rFonts w:ascii="仿宋_GB2312" w:eastAsia="仿宋_GB2312"/>
          <w:b w:val="0"/>
          <w:bCs w:val="0"/>
          <w:color w:val="auto"/>
          <w:sz w:val="32"/>
          <w:szCs w:val="32"/>
          <w:highlight w:val="none"/>
          <w:u w:val="none"/>
          <w:shd w:val="clear" w:color="auto" w:fill="auto"/>
        </w:rPr>
        <w:t>和目标导向</w:t>
      </w:r>
      <w:r>
        <w:rPr>
          <w:rFonts w:hint="eastAsia" w:ascii="仿宋_GB2312" w:eastAsia="仿宋_GB2312"/>
          <w:b w:val="0"/>
          <w:bCs w:val="0"/>
          <w:color w:val="auto"/>
          <w:sz w:val="32"/>
          <w:szCs w:val="32"/>
          <w:highlight w:val="none"/>
          <w:u w:val="none"/>
          <w:shd w:val="clear" w:color="auto" w:fill="auto"/>
        </w:rPr>
        <w:t>，</w:t>
      </w:r>
      <w:r>
        <w:rPr>
          <w:rFonts w:ascii="仿宋_GB2312" w:eastAsia="仿宋_GB2312"/>
          <w:b w:val="0"/>
          <w:bCs w:val="0"/>
          <w:color w:val="auto"/>
          <w:sz w:val="32"/>
          <w:szCs w:val="32"/>
          <w:highlight w:val="none"/>
          <w:u w:val="none"/>
          <w:shd w:val="clear" w:color="auto" w:fill="auto"/>
        </w:rPr>
        <w:t>突出原创，</w:t>
      </w:r>
      <w:r>
        <w:rPr>
          <w:rFonts w:hint="eastAsia" w:ascii="仿宋_GB2312" w:eastAsia="仿宋_GB2312"/>
          <w:color w:val="auto"/>
          <w:sz w:val="32"/>
          <w:szCs w:val="32"/>
          <w:highlight w:val="none"/>
        </w:rPr>
        <w:t>坚持把创新作为引领发展的第一动力，落实省委十三届八次会议精神和省委省政府重点任务，发挥基础研究在科技创新的源头作用，</w:t>
      </w:r>
      <w:r>
        <w:rPr>
          <w:rFonts w:hint="eastAsia" w:ascii="仿宋_GB2312" w:eastAsia="仿宋_GB2312"/>
          <w:color w:val="auto"/>
          <w:sz w:val="32"/>
          <w:szCs w:val="32"/>
          <w:highlight w:val="none"/>
          <w:u w:val="none"/>
        </w:rPr>
        <w:t>围绕保障国家</w:t>
      </w:r>
      <w:r>
        <w:rPr>
          <w:rFonts w:hint="eastAsia" w:ascii="仿宋_GB2312" w:eastAsia="仿宋_GB2312" w:cs="仿宋_GB2312"/>
          <w:color w:val="auto"/>
          <w:sz w:val="32"/>
          <w:szCs w:val="32"/>
          <w:highlight w:val="none"/>
          <w:u w:val="none"/>
          <w:lang w:bidi="ar-SA"/>
        </w:rPr>
        <w:t>“五大安全”</w:t>
      </w:r>
      <w:r>
        <w:rPr>
          <w:rFonts w:hint="eastAsia" w:ascii="仿宋_GB2312" w:eastAsia="仿宋_GB2312"/>
          <w:color w:val="auto"/>
          <w:sz w:val="32"/>
          <w:szCs w:val="32"/>
          <w:highlight w:val="none"/>
          <w:u w:val="none"/>
        </w:rPr>
        <w:t>、构建</w:t>
      </w:r>
      <w:r>
        <w:rPr>
          <w:rFonts w:hint="eastAsia" w:ascii="仿宋_GB2312" w:eastAsia="仿宋_GB2312" w:cs="仿宋_GB2312"/>
          <w:color w:val="auto"/>
          <w:sz w:val="32"/>
          <w:szCs w:val="32"/>
          <w:highlight w:val="none"/>
          <w:u w:val="none"/>
          <w:lang w:bidi="ar-SA"/>
        </w:rPr>
        <w:t>“4567”现</w:t>
      </w:r>
      <w:r>
        <w:rPr>
          <w:rFonts w:hint="eastAsia" w:ascii="仿宋_GB2312" w:eastAsia="仿宋_GB2312"/>
          <w:color w:val="auto"/>
          <w:sz w:val="32"/>
          <w:szCs w:val="32"/>
          <w:highlight w:val="none"/>
          <w:u w:val="none"/>
        </w:rPr>
        <w:t>代产业体</w:t>
      </w:r>
      <w:r>
        <w:rPr>
          <w:rFonts w:hint="eastAsia" w:ascii="仿宋_GB2312" w:eastAsia="仿宋_GB2312"/>
          <w:color w:val="auto"/>
          <w:sz w:val="32"/>
          <w:szCs w:val="32"/>
          <w:highlight w:val="none"/>
        </w:rPr>
        <w:t>系和加快形成新质生产力，聚焦</w:t>
      </w:r>
      <w:r>
        <w:rPr>
          <w:rFonts w:hint="eastAsia" w:ascii="仿宋_GB2312" w:eastAsia="仿宋_GB2312"/>
          <w:color w:val="auto"/>
          <w:sz w:val="32"/>
          <w:szCs w:val="32"/>
          <w:highlight w:val="none"/>
          <w:lang w:eastAsia="zh-CN"/>
        </w:rPr>
        <w:t>我省重点</w:t>
      </w:r>
      <w:r>
        <w:rPr>
          <w:rFonts w:hint="eastAsia" w:ascii="仿宋_GB2312" w:eastAsia="仿宋_GB2312"/>
          <w:color w:val="auto"/>
          <w:sz w:val="32"/>
          <w:szCs w:val="32"/>
          <w:highlight w:val="none"/>
        </w:rPr>
        <w:t>产业发展</w:t>
      </w:r>
      <w:r>
        <w:rPr>
          <w:rFonts w:hint="eastAsia" w:ascii="仿宋_GB2312" w:eastAsia="仿宋_GB2312"/>
          <w:color w:val="auto"/>
          <w:sz w:val="32"/>
          <w:szCs w:val="32"/>
          <w:highlight w:val="none"/>
          <w:lang w:eastAsia="zh-CN"/>
        </w:rPr>
        <w:t>需求</w:t>
      </w:r>
      <w:r>
        <w:rPr>
          <w:rFonts w:hint="eastAsia" w:ascii="仿宋_GB2312" w:eastAsia="仿宋_GB2312"/>
          <w:strike w:val="0"/>
          <w:dstrike w:val="0"/>
          <w:color w:val="auto"/>
          <w:sz w:val="32"/>
          <w:szCs w:val="32"/>
          <w:highlight w:val="none"/>
          <w:lang w:eastAsia="zh-CN"/>
        </w:rPr>
        <w:t>，</w:t>
      </w:r>
      <w:r>
        <w:rPr>
          <w:rFonts w:hint="default" w:ascii="仿宋_GB2312" w:eastAsia="仿宋_GB2312"/>
          <w:strike w:val="0"/>
          <w:dstrike w:val="0"/>
          <w:color w:val="auto"/>
          <w:sz w:val="32"/>
          <w:szCs w:val="32"/>
          <w:highlight w:val="none"/>
          <w:lang w:eastAsia="zh-CN"/>
        </w:rPr>
        <w:t>重点支持农产品精深加工领域，</w:t>
      </w:r>
      <w:r>
        <w:rPr>
          <w:rFonts w:hint="eastAsia" w:ascii="仿宋_GB2312" w:eastAsia="仿宋_GB2312"/>
          <w:strike w:val="0"/>
          <w:dstrike w:val="0"/>
          <w:color w:val="auto"/>
          <w:sz w:val="32"/>
          <w:szCs w:val="32"/>
          <w:highlight w:val="none"/>
          <w:lang w:eastAsia="zh-CN"/>
        </w:rPr>
        <w:t>组织实施</w:t>
      </w:r>
      <w:r>
        <w:rPr>
          <w:rFonts w:hint="default" w:ascii="仿宋_GB2312" w:eastAsia="仿宋_GB2312"/>
          <w:strike w:val="0"/>
          <w:dstrike w:val="0"/>
          <w:color w:val="auto"/>
          <w:sz w:val="32"/>
          <w:szCs w:val="32"/>
          <w:highlight w:val="none"/>
          <w:lang w:eastAsia="zh-CN"/>
        </w:rPr>
        <w:t>基金</w:t>
      </w:r>
      <w:r>
        <w:rPr>
          <w:rFonts w:hint="eastAsia" w:ascii="仿宋_GB2312" w:eastAsia="仿宋_GB2312"/>
          <w:strike w:val="0"/>
          <w:dstrike w:val="0"/>
          <w:color w:val="auto"/>
          <w:sz w:val="32"/>
          <w:szCs w:val="32"/>
          <w:highlight w:val="none"/>
          <w:lang w:eastAsia="zh-CN"/>
        </w:rPr>
        <w:t>项目，支持</w:t>
      </w:r>
      <w:r>
        <w:rPr>
          <w:rFonts w:hint="eastAsia" w:ascii="仿宋_GB2312" w:eastAsia="仿宋_GB2312"/>
          <w:color w:val="auto"/>
          <w:sz w:val="32"/>
          <w:szCs w:val="32"/>
          <w:highlight w:val="none"/>
        </w:rPr>
        <w:t>高校、科研院所选派</w:t>
      </w:r>
      <w:r>
        <w:rPr>
          <w:rFonts w:hint="eastAsia" w:ascii="仿宋_GB2312" w:eastAsia="仿宋_GB2312"/>
          <w:strike w:val="0"/>
          <w:dstrike w:val="0"/>
          <w:color w:val="auto"/>
          <w:sz w:val="32"/>
          <w:szCs w:val="32"/>
          <w:highlight w:val="none"/>
          <w:lang w:eastAsia="zh-CN"/>
        </w:rPr>
        <w:t>入驻</w:t>
      </w:r>
      <w:r>
        <w:rPr>
          <w:rFonts w:hint="eastAsia" w:ascii="仿宋_GB2312" w:eastAsia="仿宋_GB2312"/>
          <w:strike w:val="0"/>
          <w:dstrike w:val="0"/>
          <w:color w:val="auto"/>
          <w:sz w:val="32"/>
          <w:szCs w:val="32"/>
          <w:highlight w:val="none"/>
        </w:rPr>
        <w:t>企业任</w:t>
      </w:r>
      <w:r>
        <w:rPr>
          <w:rFonts w:hint="eastAsia" w:ascii="仿宋_GB2312" w:eastAsia="仿宋_GB2312"/>
          <w:strike w:val="0"/>
          <w:dstrike w:val="0"/>
          <w:color w:val="auto"/>
          <w:sz w:val="32"/>
          <w:szCs w:val="32"/>
          <w:highlight w:val="none"/>
          <w:lang w:eastAsia="zh-CN"/>
        </w:rPr>
        <w:t>的</w:t>
      </w:r>
      <w:r>
        <w:rPr>
          <w:rFonts w:hint="eastAsia" w:ascii="仿宋_GB2312" w:eastAsia="仿宋_GB2312"/>
          <w:color w:val="auto"/>
          <w:sz w:val="32"/>
          <w:szCs w:val="32"/>
          <w:highlight w:val="none"/>
        </w:rPr>
        <w:t>科技总师，</w:t>
      </w:r>
      <w:r>
        <w:rPr>
          <w:rFonts w:hint="eastAsia" w:ascii="仿宋_GB2312" w:eastAsia="仿宋_GB2312"/>
          <w:color w:val="auto"/>
          <w:sz w:val="32"/>
          <w:szCs w:val="32"/>
          <w:highlight w:val="none"/>
          <w:lang w:eastAsia="zh-CN"/>
        </w:rPr>
        <w:t>聚焦</w:t>
      </w:r>
      <w:r>
        <w:rPr>
          <w:rFonts w:hint="eastAsia" w:ascii="仿宋_GB2312" w:eastAsia="仿宋_GB2312"/>
          <w:color w:val="auto"/>
          <w:sz w:val="32"/>
          <w:szCs w:val="32"/>
          <w:highlight w:val="none"/>
        </w:rPr>
        <w:t>入驻企业</w:t>
      </w:r>
      <w:r>
        <w:rPr>
          <w:rFonts w:hint="eastAsia" w:ascii="仿宋_GB2312" w:eastAsia="仿宋_GB2312"/>
          <w:color w:val="auto"/>
          <w:sz w:val="32"/>
          <w:szCs w:val="32"/>
          <w:highlight w:val="none"/>
          <w:lang w:eastAsia="zh-CN"/>
        </w:rPr>
        <w:t>发展面临的技术难题和关键科学问题开展应用基础研究。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color w:val="auto"/>
          <w:sz w:val="32"/>
          <w:szCs w:val="32"/>
          <w:highlight w:val="none"/>
        </w:rPr>
      </w:pPr>
      <w:r>
        <w:rPr>
          <w:rFonts w:hint="default" w:ascii="仿宋_GB2312" w:eastAsia="仿宋_GB2312"/>
          <w:b w:val="0"/>
          <w:bCs w:val="0"/>
          <w:color w:val="auto"/>
          <w:sz w:val="32"/>
          <w:szCs w:val="32"/>
          <w:highlight w:val="none"/>
          <w:u w:val="none"/>
          <w:shd w:val="clear" w:color="auto" w:fill="auto"/>
        </w:rPr>
        <w:t>校（院）企合作项目设立重点项目和一般项目。其中重点项目面向我省农产品精深加工领域</w:t>
      </w:r>
      <w:r>
        <w:rPr>
          <w:rFonts w:hint="eastAsia" w:ascii="仿宋_GB2312" w:hAnsi="仿宋_GB2312" w:eastAsia="仿宋_GB2312" w:cs="仿宋_GB2312"/>
          <w:color w:val="auto"/>
          <w:sz w:val="32"/>
          <w:szCs w:val="32"/>
        </w:rPr>
        <w:t>，</w:t>
      </w:r>
      <w:r>
        <w:rPr>
          <w:rFonts w:hint="default" w:ascii="仿宋_GB2312" w:eastAsia="仿宋_GB2312"/>
          <w:b w:val="0"/>
          <w:bCs w:val="0"/>
          <w:color w:val="auto"/>
          <w:sz w:val="32"/>
          <w:szCs w:val="32"/>
          <w:highlight w:val="none"/>
          <w:u w:val="none"/>
          <w:shd w:val="clear" w:color="auto" w:fill="auto"/>
        </w:rPr>
        <w:t>集中力量攻克一批制约我省经济社会发展的重大科学难题，支撑我省产业转型升级和高质量发展。</w:t>
      </w:r>
      <w:r>
        <w:rPr>
          <w:rFonts w:ascii="仿宋_GB2312" w:eastAsia="仿宋_GB2312"/>
          <w:color w:val="auto"/>
          <w:sz w:val="32"/>
          <w:szCs w:val="32"/>
          <w:highlight w:val="none"/>
          <w:shd w:val="clear" w:color="auto" w:fill="auto"/>
        </w:rPr>
        <w:t>一般项目，主要围绕</w:t>
      </w:r>
      <w:r>
        <w:rPr>
          <w:rFonts w:hint="default" w:ascii="仿宋_GB2312" w:eastAsia="仿宋_GB2312"/>
          <w:color w:val="auto"/>
          <w:sz w:val="32"/>
          <w:szCs w:val="32"/>
          <w:highlight w:val="none"/>
        </w:rPr>
        <w:t>科技总师入驻企业技术需求，开展针对性、实用性的应用基础研究，助力企业突破技术瓶颈、提升创新能力。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color w:val="auto"/>
          <w:sz w:val="32"/>
          <w:szCs w:val="32"/>
          <w:highlight w:val="none"/>
          <w:u w:val="none"/>
          <w:shd w:val="clear" w:color="auto" w:fill="auto"/>
        </w:rPr>
      </w:pPr>
      <w:r>
        <w:rPr>
          <w:rFonts w:ascii="楷体" w:eastAsia="楷体" w:cs="楷体"/>
          <w:b w:val="0"/>
          <w:bCs w:val="0"/>
          <w:color w:val="auto"/>
          <w:sz w:val="32"/>
          <w:szCs w:val="32"/>
          <w:highlight w:val="none"/>
          <w:u w:val="none"/>
          <w:shd w:val="clear" w:color="auto" w:fill="auto"/>
        </w:rPr>
        <w:t>（一）</w:t>
      </w:r>
      <w:r>
        <w:rPr>
          <w:rFonts w:hint="eastAsia" w:ascii="楷体" w:eastAsia="楷体" w:cs="楷体"/>
          <w:b w:val="0"/>
          <w:bCs w:val="0"/>
          <w:color w:val="auto"/>
          <w:sz w:val="32"/>
          <w:szCs w:val="32"/>
          <w:highlight w:val="none"/>
          <w:u w:val="none"/>
          <w:shd w:val="clear" w:color="auto" w:fill="auto"/>
        </w:rPr>
        <w:t>重点</w:t>
      </w:r>
      <w:r>
        <w:rPr>
          <w:rFonts w:ascii="楷体" w:eastAsia="楷体" w:cs="楷体"/>
          <w:b w:val="0"/>
          <w:bCs w:val="0"/>
          <w:color w:val="auto"/>
          <w:sz w:val="32"/>
          <w:szCs w:val="32"/>
          <w:highlight w:val="none"/>
          <w:u w:val="none"/>
          <w:shd w:val="clear" w:color="auto" w:fill="auto"/>
        </w:rPr>
        <w:t>研究方向</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textAlignment w:val="auto"/>
        <w:rPr>
          <w:rFonts w:hint="default" w:ascii="仿宋_GB2312" w:hAnsi="仿宋_GB2312" w:eastAsia="仿宋_GB2312" w:cs="仿宋_GB2312"/>
          <w:b w:val="0"/>
          <w:bCs w:val="0"/>
          <w:color w:val="auto"/>
          <w:kern w:val="2"/>
          <w:sz w:val="32"/>
          <w:szCs w:val="32"/>
          <w:highlight w:val="none"/>
          <w:shd w:val="clear" w:color="auto" w:fill="auto"/>
        </w:rPr>
      </w:pPr>
      <w:r>
        <w:rPr>
          <w:rFonts w:hint="default" w:ascii="仿宋_GB2312" w:hAnsi="仿宋_GB2312" w:eastAsia="仿宋_GB2312" w:cs="仿宋_GB2312"/>
          <w:b/>
          <w:bCs/>
          <w:color w:val="auto"/>
          <w:kern w:val="2"/>
          <w:sz w:val="32"/>
          <w:szCs w:val="32"/>
          <w:highlight w:val="none"/>
          <w:shd w:val="clear" w:color="auto" w:fill="auto"/>
        </w:rPr>
        <w:t>1.农产品精深加工领域专项。</w:t>
      </w:r>
      <w:r>
        <w:rPr>
          <w:rFonts w:hint="default" w:ascii="仿宋_GB2312" w:hAnsi="仿宋_GB2312" w:eastAsia="仿宋_GB2312" w:cs="仿宋_GB2312"/>
          <w:b w:val="0"/>
          <w:bCs w:val="0"/>
          <w:color w:val="auto"/>
          <w:kern w:val="2"/>
          <w:sz w:val="32"/>
          <w:szCs w:val="32"/>
          <w:highlight w:val="none"/>
          <w:shd w:val="clear" w:color="auto" w:fill="auto"/>
        </w:rPr>
        <w:t>聚焦粮油精深加工、畜禽精深加工及高附加值特色产业发展中的关键科学问题，开展系列基础研究与应用基础研究。重点围绕玉米、水稻、大豆等主粮作物，探究高值化综合利用技术方法与实施策略；针对牛、猪、鹅、鸡等畜禽产品，开展肉制品品质增效、乳品风味改良与功能特性提升机制研究；围绕野生蓝莓等小浆果、桦树汁、食用菌、冷水鱼等特色农产品，深挖其活性成分、风味物质及感官品质形成机理；针对刺五加、五味子、板蓝根、紫苏、赤芍等寒地道地药材，系统研究其药效物质成因、重大疾病防治作用机制、药物作用靶点及代谢过程与代谢网络，为农产品精深加工产业高质量发展提供理论支撑与技术储备。</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textAlignment w:val="auto"/>
        <w:rPr>
          <w:rFonts w:hint="default" w:ascii="仿宋_GB2312" w:hAnsi="仿宋_GB2312" w:eastAsia="仿宋_GB2312" w:cs="仿宋_GB2312"/>
          <w:i w:val="0"/>
          <w:caps w:val="0"/>
          <w:smallCaps w:val="0"/>
          <w:color w:val="auto"/>
          <w:spacing w:val="0"/>
          <w:sz w:val="32"/>
          <w:szCs w:val="32"/>
          <w:highlight w:val="none"/>
          <w:shd w:val="clear" w:color="auto" w:fill="auto"/>
        </w:rPr>
      </w:pPr>
      <w:r>
        <w:rPr>
          <w:rFonts w:ascii="仿宋_GB2312" w:hAnsi="仿宋_GB2312" w:eastAsia="仿宋_GB2312" w:cs="仿宋_GB2312"/>
          <w:b/>
          <w:bCs/>
          <w:color w:val="auto"/>
          <w:kern w:val="2"/>
          <w:sz w:val="32"/>
          <w:szCs w:val="32"/>
          <w:highlight w:val="none"/>
          <w:shd w:val="clear" w:color="auto" w:fill="auto"/>
        </w:rPr>
        <w:t>2.其它重点产业领域。</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Style w:val="11"/>
          <w:rFonts w:ascii="仿宋_GB2312" w:eastAsia="仿宋_GB2312" w:cs="仿宋_GB2312"/>
          <w:b w:val="0"/>
          <w:color w:val="auto"/>
          <w:sz w:val="32"/>
          <w:szCs w:val="32"/>
          <w:highlight w:val="none"/>
          <w:shd w:val="clear" w:color="auto" w:fill="auto"/>
        </w:rPr>
      </w:pPr>
      <w:r>
        <w:rPr>
          <w:rStyle w:val="11"/>
          <w:rFonts w:ascii="仿宋_GB2312" w:eastAsia="仿宋_GB2312" w:cs="仿宋_GB2312"/>
          <w:bCs/>
          <w:color w:val="auto"/>
          <w:sz w:val="32"/>
          <w:szCs w:val="32"/>
          <w:highlight w:val="none"/>
          <w:shd w:val="clear" w:color="auto" w:fill="auto"/>
        </w:rPr>
        <w:t>（1）量子科技。</w:t>
      </w:r>
      <w:r>
        <w:rPr>
          <w:rStyle w:val="11"/>
          <w:rFonts w:ascii="仿宋_GB2312" w:eastAsia="仿宋_GB2312" w:cs="仿宋_GB2312"/>
          <w:b w:val="0"/>
          <w:color w:val="auto"/>
          <w:sz w:val="32"/>
          <w:szCs w:val="32"/>
          <w:highlight w:val="none"/>
          <w:shd w:val="clear" w:color="auto" w:fill="auto"/>
        </w:rPr>
        <w:t>开展里德堡原子量子态精准调控、量子磁传感、量子加密模块、抗噪声量子通信协议、单光子探测与成像、光/电/磁多场协同调控等基础理论和应用基础研究。</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480" w:firstLineChars="200"/>
        <w:jc w:val="both"/>
        <w:textAlignment w:val="auto"/>
        <w:rPr>
          <w:rStyle w:val="11"/>
          <w:rFonts w:ascii="仿宋_GB2312" w:eastAsia="仿宋_GB2312" w:cs="仿宋_GB2312"/>
          <w:b w:val="0"/>
          <w:color w:val="auto"/>
          <w:sz w:val="32"/>
          <w:szCs w:val="32"/>
          <w:highlight w:val="none"/>
          <w:shd w:val="clear" w:color="auto" w:fill="auto"/>
        </w:rPr>
      </w:pPr>
      <w:r>
        <w:rPr>
          <w:color w:val="auto"/>
          <w:highlight w:val="none"/>
          <w:shd w:val="clear" w:color="auto" w:fill="auto"/>
        </w:rPr>
        <w:t xml:space="preserve"> </w:t>
      </w:r>
      <w:r>
        <w:rPr>
          <w:rStyle w:val="11"/>
          <w:rFonts w:ascii="仿宋_GB2312" w:eastAsia="仿宋_GB2312" w:cs="仿宋_GB2312"/>
          <w:bCs/>
          <w:color w:val="auto"/>
          <w:sz w:val="32"/>
          <w:szCs w:val="32"/>
          <w:highlight w:val="none"/>
          <w:shd w:val="clear" w:color="auto" w:fill="auto"/>
        </w:rPr>
        <w:t>（2）</w:t>
      </w:r>
      <w:r>
        <w:rPr>
          <w:rStyle w:val="11"/>
          <w:rFonts w:hint="eastAsia" w:ascii="仿宋_GB2312" w:eastAsia="仿宋_GB2312" w:cs="仿宋_GB2312"/>
          <w:bCs/>
          <w:color w:val="auto"/>
          <w:sz w:val="32"/>
          <w:szCs w:val="32"/>
          <w:highlight w:val="none"/>
          <w:shd w:val="clear" w:color="auto" w:fill="auto"/>
        </w:rPr>
        <w:t>人工智能</w:t>
      </w:r>
      <w:r>
        <w:rPr>
          <w:rStyle w:val="11"/>
          <w:rFonts w:ascii="仿宋_GB2312" w:eastAsia="仿宋_GB2312" w:cs="仿宋_GB2312"/>
          <w:bCs/>
          <w:color w:val="auto"/>
          <w:sz w:val="32"/>
          <w:szCs w:val="32"/>
          <w:highlight w:val="none"/>
          <w:shd w:val="clear" w:color="auto" w:fill="auto"/>
        </w:rPr>
        <w:t>。</w:t>
      </w:r>
      <w:r>
        <w:rPr>
          <w:rStyle w:val="11"/>
          <w:rFonts w:ascii="仿宋_GB2312" w:eastAsia="仿宋_GB2312" w:cs="仿宋_GB2312"/>
          <w:b w:val="0"/>
          <w:color w:val="auto"/>
          <w:sz w:val="32"/>
          <w:szCs w:val="32"/>
          <w:highlight w:val="none"/>
          <w:shd w:val="clear" w:color="auto" w:fill="auto"/>
        </w:rPr>
        <w:t>开展</w:t>
      </w:r>
      <w:r>
        <w:rPr>
          <w:rFonts w:ascii="仿宋_GB2312" w:hAnsi="Times New Roman" w:eastAsia="仿宋_GB2312" w:cs="Times New Roman"/>
          <w:color w:val="auto"/>
          <w:sz w:val="32"/>
          <w:szCs w:val="32"/>
          <w:highlight w:val="none"/>
          <w:shd w:val="clear" w:color="auto" w:fill="auto"/>
        </w:rPr>
        <w:t>生成式人工智能、深度神经网络、图神经网络、强化学习等先进算法，基础软件、具身智能、新型模型架构、人工智能模型应用等方面基础理论研究，加快突破大模型思维链、智能体自学习、知识蒸馏、剪枝、量化、参数共享等技术。</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textAlignment w:val="auto"/>
        <w:rPr>
          <w:rStyle w:val="11"/>
          <w:rFonts w:hint="default" w:ascii="仿宋_GB2312" w:eastAsia="仿宋_GB2312" w:cs="仿宋_GB2312"/>
          <w:b w:val="0"/>
          <w:color w:val="auto"/>
          <w:kern w:val="0"/>
          <w:sz w:val="32"/>
          <w:szCs w:val="32"/>
          <w:highlight w:val="none"/>
          <w:shd w:val="clear" w:color="auto" w:fill="auto"/>
        </w:rPr>
      </w:pPr>
      <w:r>
        <w:rPr>
          <w:rStyle w:val="11"/>
          <w:rFonts w:ascii="仿宋_GB2312" w:eastAsia="仿宋_GB2312" w:cs="仿宋_GB2312"/>
          <w:bCs/>
          <w:color w:val="auto"/>
          <w:kern w:val="0"/>
          <w:sz w:val="32"/>
          <w:szCs w:val="32"/>
          <w:highlight w:val="none"/>
          <w:shd w:val="clear" w:color="auto" w:fill="auto"/>
        </w:rPr>
        <w:t>（3）</w:t>
      </w:r>
      <w:r>
        <w:rPr>
          <w:rStyle w:val="11"/>
          <w:rFonts w:hint="eastAsia" w:ascii="仿宋_GB2312" w:eastAsia="仿宋_GB2312" w:cs="仿宋_GB2312"/>
          <w:bCs/>
          <w:color w:val="auto"/>
          <w:kern w:val="0"/>
          <w:sz w:val="32"/>
          <w:szCs w:val="32"/>
          <w:highlight w:val="none"/>
          <w:shd w:val="clear" w:color="auto" w:fill="auto"/>
        </w:rPr>
        <w:t>生物制造</w:t>
      </w:r>
      <w:r>
        <w:rPr>
          <w:rStyle w:val="11"/>
          <w:rFonts w:ascii="仿宋_GB2312" w:eastAsia="仿宋_GB2312" w:cs="仿宋_GB2312"/>
          <w:bCs/>
          <w:color w:val="auto"/>
          <w:kern w:val="0"/>
          <w:sz w:val="32"/>
          <w:szCs w:val="32"/>
          <w:highlight w:val="none"/>
          <w:shd w:val="clear" w:color="auto" w:fill="auto"/>
        </w:rPr>
        <w:t>。</w:t>
      </w:r>
      <w:r>
        <w:rPr>
          <w:rStyle w:val="11"/>
          <w:rFonts w:ascii="仿宋_GB2312" w:eastAsia="仿宋_GB2312" w:cs="仿宋_GB2312"/>
          <w:b w:val="0"/>
          <w:color w:val="auto"/>
          <w:kern w:val="0"/>
          <w:sz w:val="32"/>
          <w:szCs w:val="32"/>
          <w:highlight w:val="none"/>
          <w:shd w:val="clear" w:color="auto" w:fill="auto"/>
        </w:rPr>
        <w:t>开展特色核心菌种资源挖掘、AI驱动菌种智能设计、细胞工厂重构、定向进化，</w:t>
      </w:r>
      <w:r>
        <w:rPr>
          <w:rStyle w:val="11"/>
          <w:rFonts w:hint="eastAsia" w:ascii="仿宋_GB2312" w:eastAsia="仿宋_GB2312" w:cs="仿宋_GB2312"/>
          <w:b w:val="0"/>
          <w:color w:val="auto"/>
          <w:kern w:val="0"/>
          <w:sz w:val="32"/>
          <w:szCs w:val="32"/>
          <w:highlight w:val="none"/>
          <w:shd w:val="clear" w:color="auto" w:fill="auto"/>
        </w:rPr>
        <w:t>新一代基因编辑、生物传感器、生物3D打印、生物计算、生物基材料、生物能源合成、生物合成食品、动物mRNA疫苗</w:t>
      </w:r>
      <w:r>
        <w:rPr>
          <w:rStyle w:val="11"/>
          <w:rFonts w:ascii="仿宋_GB2312" w:eastAsia="仿宋_GB2312" w:cs="仿宋_GB2312"/>
          <w:b w:val="0"/>
          <w:color w:val="auto"/>
          <w:kern w:val="0"/>
          <w:sz w:val="32"/>
          <w:szCs w:val="32"/>
          <w:highlight w:val="none"/>
          <w:shd w:val="clear" w:color="auto" w:fill="auto"/>
        </w:rPr>
        <w:t>等基础研究和应用基础研究。</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Style w:val="11"/>
          <w:rFonts w:ascii="仿宋_GB2312" w:eastAsia="仿宋_GB2312" w:cs="仿宋_GB2312"/>
          <w:b w:val="0"/>
          <w:color w:val="auto"/>
          <w:sz w:val="32"/>
          <w:szCs w:val="32"/>
          <w:highlight w:val="none"/>
          <w:shd w:val="clear" w:color="auto" w:fill="auto"/>
        </w:rPr>
      </w:pPr>
      <w:r>
        <w:rPr>
          <w:rStyle w:val="11"/>
          <w:rFonts w:ascii="仿宋_GB2312" w:eastAsia="仿宋_GB2312" w:cs="仿宋_GB2312"/>
          <w:bCs/>
          <w:color w:val="auto"/>
          <w:sz w:val="32"/>
          <w:szCs w:val="32"/>
          <w:highlight w:val="none"/>
          <w:shd w:val="clear" w:color="auto" w:fill="auto"/>
        </w:rPr>
        <w:t>（4）新</w:t>
      </w:r>
      <w:r>
        <w:rPr>
          <w:rStyle w:val="11"/>
          <w:rFonts w:hint="eastAsia" w:ascii="仿宋_GB2312" w:eastAsia="仿宋_GB2312" w:cs="仿宋_GB2312"/>
          <w:bCs/>
          <w:color w:val="auto"/>
          <w:sz w:val="32"/>
          <w:szCs w:val="32"/>
          <w:highlight w:val="none"/>
          <w:shd w:val="clear" w:color="auto" w:fill="auto"/>
        </w:rPr>
        <w:t>材料</w:t>
      </w:r>
      <w:r>
        <w:rPr>
          <w:rStyle w:val="11"/>
          <w:rFonts w:ascii="仿宋_GB2312" w:eastAsia="仿宋_GB2312" w:cs="仿宋_GB2312"/>
          <w:bCs/>
          <w:color w:val="auto"/>
          <w:sz w:val="32"/>
          <w:szCs w:val="32"/>
          <w:highlight w:val="none"/>
          <w:shd w:val="clear" w:color="auto" w:fill="auto"/>
        </w:rPr>
        <w:t>。</w:t>
      </w:r>
      <w:r>
        <w:rPr>
          <w:rStyle w:val="11"/>
          <w:rFonts w:ascii="仿宋_GB2312" w:eastAsia="仿宋_GB2312" w:cs="仿宋_GB2312"/>
          <w:b w:val="0"/>
          <w:color w:val="auto"/>
          <w:sz w:val="32"/>
          <w:szCs w:val="32"/>
          <w:highlight w:val="none"/>
          <w:shd w:val="clear" w:color="auto" w:fill="auto"/>
        </w:rPr>
        <w:t>聚焦关键领域基础材料创新、先进基础材料高端化、前沿新材料典型应用，开展高性能轻质材料，高韧合金、航空航天与高端装备陶瓷材料、芯片制造用石英材料、碳纤维复合材料、新型树脂基体材料等性能提升与制备应用基础研究。</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Style w:val="11"/>
          <w:rFonts w:ascii="仿宋_GB2312" w:eastAsia="仿宋_GB2312" w:cs="仿宋_GB2312"/>
          <w:b w:val="0"/>
          <w:bCs w:val="0"/>
          <w:color w:val="auto"/>
          <w:kern w:val="0"/>
          <w:sz w:val="32"/>
          <w:szCs w:val="32"/>
          <w:highlight w:val="none"/>
          <w:shd w:val="clear" w:color="auto" w:fill="auto"/>
          <w:lang w:val="en-US" w:eastAsia="zh-CN" w:bidi="ar-SA"/>
        </w:rPr>
      </w:pPr>
      <w:r>
        <w:rPr>
          <w:rStyle w:val="11"/>
          <w:rFonts w:ascii="仿宋_GB2312" w:eastAsia="仿宋_GB2312" w:cs="仿宋_GB2312"/>
          <w:bCs/>
          <w:color w:val="auto"/>
          <w:sz w:val="32"/>
          <w:szCs w:val="32"/>
          <w:highlight w:val="none"/>
          <w:shd w:val="clear" w:color="auto" w:fill="auto"/>
          <w:lang w:val="en-US" w:eastAsia="zh-CN"/>
        </w:rPr>
        <w:t>（5）</w:t>
      </w:r>
      <w:r>
        <w:rPr>
          <w:rStyle w:val="11"/>
          <w:rFonts w:hint="eastAsia" w:ascii="仿宋_GB2312" w:eastAsia="仿宋_GB2312" w:cs="仿宋_GB2312"/>
          <w:bCs/>
          <w:color w:val="auto"/>
          <w:sz w:val="32"/>
          <w:szCs w:val="32"/>
          <w:highlight w:val="none"/>
          <w:shd w:val="clear" w:color="auto" w:fill="auto"/>
          <w:lang w:val="en-US" w:eastAsia="zh-CN" w:bidi="ar-SA"/>
        </w:rPr>
        <w:t>能源装备</w:t>
      </w:r>
      <w:r>
        <w:rPr>
          <w:rStyle w:val="11"/>
          <w:rFonts w:ascii="仿宋_GB2312" w:eastAsia="仿宋_GB2312" w:cs="仿宋_GB2312"/>
          <w:bCs/>
          <w:color w:val="auto"/>
          <w:sz w:val="32"/>
          <w:szCs w:val="32"/>
          <w:highlight w:val="none"/>
          <w:shd w:val="clear" w:color="auto" w:fill="auto"/>
          <w:lang w:val="en-US" w:eastAsia="zh-CN" w:bidi="ar-SA"/>
        </w:rPr>
        <w:t>。</w:t>
      </w:r>
      <w:r>
        <w:rPr>
          <w:rStyle w:val="11"/>
          <w:rFonts w:ascii="仿宋_GB2312" w:eastAsia="仿宋_GB2312" w:cs="仿宋_GB2312"/>
          <w:b w:val="0"/>
          <w:color w:val="auto"/>
          <w:sz w:val="32"/>
          <w:szCs w:val="32"/>
          <w:highlight w:val="none"/>
          <w:shd w:val="clear" w:color="auto" w:fill="auto"/>
          <w:lang w:val="en-US" w:eastAsia="zh-CN" w:bidi="ar-SA"/>
        </w:rPr>
        <w:t>围绕锅炉超低负荷稳定燃烧，燃煤/燃气锅炉掺氢燃烧、多燃料燃烧，堆机热自动控制、移动式小型堆集成化设计，高效灵活燃煤发电机组、高水头高稳定性水电装备、新型储能系统成套主设备整机和关键部件研制</w:t>
      </w:r>
      <w:r>
        <w:rPr>
          <w:rStyle w:val="11"/>
          <w:rFonts w:ascii="仿宋_GB2312" w:eastAsia="仿宋_GB2312" w:cs="仿宋_GB2312"/>
          <w:b w:val="0"/>
          <w:color w:val="auto"/>
          <w:sz w:val="32"/>
          <w:szCs w:val="32"/>
          <w:highlight w:val="none"/>
          <w:shd w:val="clear" w:color="auto" w:fill="auto"/>
        </w:rPr>
        <w:t>中关键科学问题</w:t>
      </w:r>
      <w:r>
        <w:rPr>
          <w:rStyle w:val="11"/>
          <w:rFonts w:ascii="仿宋_GB2312" w:eastAsia="仿宋_GB2312" w:cs="仿宋_GB2312"/>
          <w:b w:val="0"/>
          <w:color w:val="auto"/>
          <w:sz w:val="32"/>
          <w:szCs w:val="32"/>
          <w:highlight w:val="none"/>
          <w:shd w:val="clear" w:color="auto" w:fill="auto"/>
          <w:lang w:val="en-US" w:eastAsia="zh-CN" w:bidi="ar-SA"/>
        </w:rPr>
        <w:t>，开展应用基础研究。</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Style w:val="11"/>
          <w:rFonts w:ascii="仿宋_GB2312" w:eastAsia="仿宋_GB2312" w:cs="仿宋_GB2312"/>
          <w:bCs/>
          <w:color w:val="auto"/>
          <w:sz w:val="32"/>
          <w:szCs w:val="32"/>
          <w:highlight w:val="none"/>
          <w:shd w:val="clear" w:color="auto" w:fill="auto"/>
          <w:lang w:bidi="ar-SA"/>
        </w:rPr>
      </w:pPr>
      <w:r>
        <w:rPr>
          <w:rStyle w:val="11"/>
          <w:rFonts w:ascii="仿宋_GB2312" w:eastAsia="仿宋_GB2312" w:cs="仿宋_GB2312"/>
          <w:bCs/>
          <w:color w:val="auto"/>
          <w:sz w:val="32"/>
          <w:szCs w:val="32"/>
          <w:highlight w:val="none"/>
          <w:shd w:val="clear" w:color="auto" w:fill="auto"/>
          <w:lang w:bidi="ar-SA"/>
        </w:rPr>
        <w:t>（6）</w:t>
      </w:r>
      <w:r>
        <w:rPr>
          <w:rStyle w:val="11"/>
          <w:rFonts w:hint="eastAsia" w:ascii="仿宋_GB2312" w:eastAsia="仿宋_GB2312" w:cs="仿宋_GB2312"/>
          <w:bCs/>
          <w:color w:val="auto"/>
          <w:sz w:val="32"/>
          <w:szCs w:val="32"/>
          <w:highlight w:val="none"/>
          <w:shd w:val="clear" w:color="auto" w:fill="auto"/>
          <w:lang w:bidi="ar-SA"/>
        </w:rPr>
        <w:t>航空</w:t>
      </w:r>
      <w:r>
        <w:rPr>
          <w:rStyle w:val="11"/>
          <w:rFonts w:ascii="仿宋_GB2312" w:eastAsia="仿宋_GB2312" w:cs="仿宋_GB2312"/>
          <w:bCs/>
          <w:color w:val="auto"/>
          <w:sz w:val="32"/>
          <w:szCs w:val="32"/>
          <w:highlight w:val="none"/>
          <w:shd w:val="clear" w:color="auto" w:fill="auto"/>
          <w:lang w:bidi="ar-SA"/>
        </w:rPr>
        <w:t>航天。</w:t>
      </w:r>
      <w:r>
        <w:rPr>
          <w:rStyle w:val="11"/>
          <w:rFonts w:ascii="仿宋_GB2312" w:eastAsia="仿宋_GB2312" w:cs="仿宋_GB2312"/>
          <w:b w:val="0"/>
          <w:color w:val="auto"/>
          <w:sz w:val="32"/>
          <w:szCs w:val="32"/>
          <w:highlight w:val="none"/>
          <w:shd w:val="clear" w:color="auto" w:fill="auto"/>
          <w:lang w:bidi="ar-SA"/>
        </w:rPr>
        <w:t>围绕大载荷运输无人机、跨介质无人机、小型航空发动机燃烧室低成本批量化制造、低轨互联网卫星载荷与整星批量化制造中关键科学问题，以及卫星数字化智能测试、手机直连卫星等，开展应用基础研究。</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Style w:val="11"/>
          <w:rFonts w:ascii="仿宋_GB2312" w:eastAsia="仿宋_GB2312" w:cs="仿宋_GB2312"/>
          <w:b w:val="0"/>
          <w:color w:val="auto"/>
          <w:kern w:val="0"/>
          <w:sz w:val="32"/>
          <w:szCs w:val="32"/>
          <w:highlight w:val="none"/>
          <w:shd w:val="clear" w:color="auto" w:fill="auto"/>
          <w:lang w:val="en-US" w:eastAsia="zh-CN" w:bidi="ar-SA"/>
        </w:rPr>
      </w:pPr>
      <w:r>
        <w:rPr>
          <w:rStyle w:val="11"/>
          <w:rFonts w:ascii="仿宋_GB2312" w:eastAsia="仿宋_GB2312" w:cs="仿宋_GB2312"/>
          <w:bCs/>
          <w:color w:val="auto"/>
          <w:sz w:val="32"/>
          <w:szCs w:val="32"/>
          <w:highlight w:val="none"/>
          <w:shd w:val="clear" w:color="auto" w:fill="auto"/>
          <w:lang w:val="en-US" w:eastAsia="zh-CN"/>
        </w:rPr>
        <w:t>（7）现代种业。</w:t>
      </w:r>
      <w:r>
        <w:rPr>
          <w:rStyle w:val="11"/>
          <w:rFonts w:ascii="仿宋_GB2312" w:eastAsia="仿宋_GB2312" w:cs="仿宋_GB2312"/>
          <w:b w:val="0"/>
          <w:color w:val="auto"/>
          <w:sz w:val="32"/>
          <w:szCs w:val="32"/>
          <w:highlight w:val="none"/>
          <w:shd w:val="clear" w:color="auto" w:fill="auto"/>
          <w:lang w:val="en-US" w:eastAsia="zh-CN"/>
        </w:rPr>
        <w:t>围绕超高产、优质、抗逆、广适、耐密、宜机收等关键性状，运用</w:t>
      </w:r>
      <w:r>
        <w:rPr>
          <w:rStyle w:val="11"/>
          <w:rFonts w:hint="eastAsia" w:ascii="仿宋_GB2312" w:eastAsia="仿宋_GB2312" w:cs="仿宋_GB2312"/>
          <w:b w:val="0"/>
          <w:color w:val="auto"/>
          <w:sz w:val="32"/>
          <w:szCs w:val="32"/>
          <w:highlight w:val="none"/>
          <w:shd w:val="clear" w:color="auto" w:fill="auto"/>
          <w:lang w:bidi="ar-SA"/>
        </w:rPr>
        <w:t>全基因组选择、基因编辑、分子标记</w:t>
      </w:r>
      <w:r>
        <w:rPr>
          <w:rStyle w:val="11"/>
          <w:rFonts w:ascii="仿宋_GB2312" w:eastAsia="仿宋_GB2312" w:cs="仿宋_GB2312"/>
          <w:b w:val="0"/>
          <w:color w:val="auto"/>
          <w:sz w:val="32"/>
          <w:szCs w:val="32"/>
          <w:highlight w:val="none"/>
          <w:shd w:val="clear" w:color="auto" w:fill="auto"/>
          <w:lang w:bidi="ar-SA"/>
        </w:rPr>
        <w:t>辅助、诱变育种等方法，开展大豆、水稻、玉米、马铃薯、杂粮杂豆，以及林木等农林作物种质创新与新品种选育。</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Style w:val="11"/>
          <w:rFonts w:ascii="仿宋_GB2312" w:eastAsia="仿宋_GB2312" w:cs="仿宋_GB2312"/>
          <w:bCs/>
          <w:color w:val="auto"/>
          <w:kern w:val="0"/>
          <w:sz w:val="32"/>
          <w:szCs w:val="32"/>
          <w:highlight w:val="none"/>
          <w:shd w:val="clear" w:color="auto" w:fill="auto"/>
          <w:lang w:val="en-US" w:eastAsia="zh-CN" w:bidi="ar-SA"/>
        </w:rPr>
      </w:pPr>
      <w:r>
        <w:rPr>
          <w:rStyle w:val="11"/>
          <w:rFonts w:ascii="仿宋_GB2312" w:eastAsia="仿宋_GB2312" w:cs="仿宋_GB2312"/>
          <w:bCs/>
          <w:color w:val="auto"/>
          <w:sz w:val="32"/>
          <w:szCs w:val="32"/>
          <w:highlight w:val="none"/>
          <w:shd w:val="clear" w:color="auto" w:fill="auto"/>
          <w:lang w:bidi="ar-SA"/>
        </w:rPr>
        <w:t>（8）集成电路。</w:t>
      </w:r>
      <w:r>
        <w:rPr>
          <w:rStyle w:val="11"/>
          <w:rFonts w:ascii="仿宋_GB2312" w:eastAsia="仿宋_GB2312" w:cs="仿宋_GB2312"/>
          <w:b w:val="0"/>
          <w:color w:val="auto"/>
          <w:sz w:val="32"/>
          <w:szCs w:val="32"/>
          <w:highlight w:val="none"/>
          <w:shd w:val="clear" w:color="auto" w:fill="auto"/>
          <w:lang w:bidi="ar-SA"/>
        </w:rPr>
        <w:t>开展高电流密度IGBT芯片设计、高可靠续流二极管FRD芯片设计、混碳模块（Si IGBT+SiC MOSFET）封装及测试等应用基础研究。</w:t>
      </w:r>
    </w:p>
    <w:p>
      <w:pPr>
        <w:pStyle w:val="8"/>
        <w:keepNext w:val="0"/>
        <w:keepLines w:val="0"/>
        <w:pageBreakBefore w:val="0"/>
        <w:widowControl w:val="0"/>
        <w:kinsoku/>
        <w:wordWrap/>
        <w:overflowPunct/>
        <w:topLinePunct w:val="0"/>
        <w:autoSpaceDE/>
        <w:autoSpaceDN/>
        <w:bidi w:val="0"/>
        <w:adjustRightInd/>
        <w:snapToGrid/>
        <w:spacing w:beforeAutospacing="0" w:afterAutospacing="0" w:line="560" w:lineRule="exact"/>
        <w:ind w:firstLine="642" w:firstLineChars="200"/>
        <w:jc w:val="both"/>
        <w:textAlignment w:val="auto"/>
        <w:rPr>
          <w:rStyle w:val="11"/>
          <w:rFonts w:ascii="仿宋_GB2312" w:eastAsia="仿宋_GB2312" w:cs="仿宋_GB2312"/>
          <w:b w:val="0"/>
          <w:bCs w:val="0"/>
          <w:color w:val="auto"/>
          <w:kern w:val="0"/>
          <w:sz w:val="32"/>
          <w:szCs w:val="32"/>
          <w:highlight w:val="none"/>
          <w:shd w:val="clear" w:color="auto" w:fill="auto"/>
          <w:lang w:val="en-US" w:eastAsia="zh-CN" w:bidi="ar-SA"/>
        </w:rPr>
      </w:pPr>
      <w:r>
        <w:rPr>
          <w:rStyle w:val="11"/>
          <w:rFonts w:ascii="仿宋_GB2312" w:eastAsia="仿宋_GB2312" w:cs="仿宋_GB2312"/>
          <w:bCs/>
          <w:color w:val="auto"/>
          <w:sz w:val="32"/>
          <w:szCs w:val="32"/>
          <w:highlight w:val="none"/>
          <w:shd w:val="clear" w:color="auto" w:fill="auto"/>
          <w:lang w:val="en-US" w:eastAsia="zh-CN"/>
        </w:rPr>
        <w:t>（9）</w:t>
      </w:r>
      <w:r>
        <w:rPr>
          <w:rStyle w:val="11"/>
          <w:rFonts w:hint="eastAsia" w:ascii="仿宋_GB2312" w:eastAsia="仿宋_GB2312" w:cs="仿宋_GB2312"/>
          <w:bCs/>
          <w:color w:val="auto"/>
          <w:sz w:val="32"/>
          <w:szCs w:val="32"/>
          <w:highlight w:val="none"/>
          <w:shd w:val="clear" w:color="auto" w:fill="auto"/>
          <w:lang w:val="en-US" w:eastAsia="zh-CN"/>
        </w:rPr>
        <w:t>工业母机</w:t>
      </w:r>
      <w:r>
        <w:rPr>
          <w:rStyle w:val="11"/>
          <w:rFonts w:ascii="仿宋_GB2312" w:eastAsia="仿宋_GB2312" w:cs="仿宋_GB2312"/>
          <w:bCs/>
          <w:color w:val="auto"/>
          <w:sz w:val="32"/>
          <w:szCs w:val="32"/>
          <w:highlight w:val="none"/>
          <w:shd w:val="clear" w:color="auto" w:fill="auto"/>
          <w:lang w:val="en-US" w:eastAsia="zh-CN"/>
        </w:rPr>
        <w:t>。</w:t>
      </w:r>
      <w:r>
        <w:rPr>
          <w:rStyle w:val="11"/>
          <w:rFonts w:ascii="仿宋_GB2312" w:hAnsi="仿宋_GB2312" w:eastAsia="仿宋_GB2312" w:cs="仿宋_GB2312"/>
          <w:b w:val="0"/>
          <w:color w:val="auto"/>
          <w:sz w:val="32"/>
          <w:szCs w:val="32"/>
          <w:highlight w:val="none"/>
          <w:shd w:val="clear" w:color="auto" w:fill="auto"/>
          <w:lang w:val="en-US" w:eastAsia="zh-CN" w:bidi="ar-SA"/>
        </w:rPr>
        <w:t>围绕</w:t>
      </w:r>
      <w:r>
        <w:rPr>
          <w:rStyle w:val="11"/>
          <w:rFonts w:hint="eastAsia" w:ascii="仿宋_GB2312" w:hAnsi="仿宋_GB2312" w:eastAsia="仿宋_GB2312" w:cs="仿宋_GB2312"/>
          <w:b w:val="0"/>
          <w:color w:val="auto"/>
          <w:sz w:val="32"/>
          <w:szCs w:val="32"/>
          <w:highlight w:val="none"/>
          <w:shd w:val="clear" w:color="auto" w:fill="auto"/>
          <w:lang w:val="en-US" w:eastAsia="zh-CN" w:bidi="ar-SA"/>
        </w:rPr>
        <w:t>高精度重型数控加工中心、高速大承载力静压推力轴承等</w:t>
      </w:r>
      <w:r>
        <w:rPr>
          <w:rStyle w:val="11"/>
          <w:rFonts w:ascii="仿宋_GB2312" w:hAnsi="仿宋_GB2312" w:eastAsia="仿宋_GB2312" w:cs="仿宋_GB2312"/>
          <w:b w:val="0"/>
          <w:color w:val="auto"/>
          <w:sz w:val="32"/>
          <w:szCs w:val="32"/>
          <w:highlight w:val="none"/>
          <w:shd w:val="clear" w:color="auto" w:fill="auto"/>
          <w:lang w:val="en-US" w:eastAsia="zh-CN" w:bidi="ar-SA"/>
        </w:rPr>
        <w:t>装备、关键部件研制中关键科学问题，以及专用刀具、加工监控机机床运维智能系统，开展基础研究和应用基础研究</w:t>
      </w:r>
      <w:r>
        <w:rPr>
          <w:rStyle w:val="11"/>
          <w:rFonts w:hint="eastAsia" w:ascii="仿宋_GB2312" w:hAnsi="仿宋_GB2312" w:eastAsia="仿宋_GB2312" w:cs="仿宋_GB2312"/>
          <w:b w:val="0"/>
          <w:color w:val="auto"/>
          <w:sz w:val="32"/>
          <w:szCs w:val="32"/>
          <w:highlight w:val="none"/>
          <w:shd w:val="clear" w:color="auto" w:fill="auto"/>
          <w:lang w:val="en-US" w:eastAsia="zh-CN" w:bidi="ar-SA"/>
        </w:rPr>
        <w:t>。</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textAlignment w:val="auto"/>
        <w:rPr>
          <w:rFonts w:ascii="仿宋_GB2312" w:hAnsi="仿宋_GB2312" w:eastAsia="仿宋_GB2312" w:cs="仿宋_GB2312"/>
          <w:color w:val="auto"/>
          <w:kern w:val="2"/>
          <w:sz w:val="32"/>
          <w:szCs w:val="32"/>
          <w:highlight w:val="none"/>
          <w:shd w:val="clear" w:color="auto" w:fill="auto"/>
        </w:rPr>
      </w:pPr>
      <w:r>
        <w:rPr>
          <w:rStyle w:val="11"/>
          <w:rFonts w:ascii="仿宋_GB2312" w:hAnsi="仿宋_GB2312" w:eastAsia="仿宋_GB2312" w:cs="仿宋_GB2312"/>
          <w:bCs/>
          <w:color w:val="auto"/>
          <w:kern w:val="0"/>
          <w:sz w:val="32"/>
          <w:szCs w:val="32"/>
          <w:highlight w:val="none"/>
          <w:shd w:val="clear" w:color="auto" w:fill="auto"/>
        </w:rPr>
        <w:t>（10）高端仪器。</w:t>
      </w:r>
      <w:r>
        <w:rPr>
          <w:rStyle w:val="11"/>
          <w:rFonts w:ascii="仿宋_GB2312" w:hAnsi="仿宋_GB2312" w:eastAsia="仿宋_GB2312" w:cs="仿宋_GB2312"/>
          <w:b w:val="0"/>
          <w:color w:val="auto"/>
          <w:kern w:val="0"/>
          <w:sz w:val="32"/>
          <w:szCs w:val="32"/>
          <w:highlight w:val="none"/>
          <w:shd w:val="clear" w:color="auto" w:fill="auto"/>
        </w:rPr>
        <w:t>开展超大型精密装备气/磁隔微振、超大型精密回转设备同轴度测量、量子传感微纳四坐标测量、多量子能级微波场全参数测量、超高通量亚细胞器活体成像、超分辨率智能计算成像等应用基础研究。</w:t>
      </w:r>
    </w:p>
    <w:p>
      <w:pPr>
        <w:keepNext w:val="0"/>
        <w:keepLines w:val="0"/>
        <w:pageBreakBefore w:val="0"/>
        <w:widowControl w:val="0"/>
        <w:kinsoku/>
        <w:wordWrap/>
        <w:overflowPunct/>
        <w:topLinePunct w:val="0"/>
        <w:autoSpaceDE/>
        <w:autoSpaceDN/>
        <w:bidi w:val="0"/>
        <w:adjustRightInd/>
        <w:snapToGrid/>
        <w:spacing w:line="560" w:lineRule="exact"/>
        <w:ind w:left="0" w:firstLine="642" w:firstLineChars="200"/>
        <w:textAlignment w:val="auto"/>
        <w:rPr>
          <w:rStyle w:val="11"/>
          <w:rFonts w:ascii="仿宋_GB2312" w:hAnsi="仿宋_GB2312" w:eastAsia="仿宋_GB2312" w:cs="仿宋_GB2312"/>
          <w:bCs/>
          <w:color w:val="auto"/>
          <w:kern w:val="0"/>
          <w:sz w:val="32"/>
          <w:szCs w:val="32"/>
          <w:highlight w:val="none"/>
          <w:shd w:val="clear" w:color="auto" w:fill="auto"/>
        </w:rPr>
      </w:pPr>
      <w:r>
        <w:rPr>
          <w:rStyle w:val="11"/>
          <w:rFonts w:ascii="仿宋_GB2312" w:hAnsi="仿宋_GB2312" w:eastAsia="仿宋_GB2312" w:cs="仿宋_GB2312"/>
          <w:bCs/>
          <w:color w:val="auto"/>
          <w:kern w:val="0"/>
          <w:sz w:val="32"/>
          <w:szCs w:val="32"/>
          <w:highlight w:val="none"/>
          <w:shd w:val="clear" w:color="auto" w:fill="auto"/>
        </w:rPr>
        <w:t>（11）重型装备。</w:t>
      </w:r>
      <w:r>
        <w:rPr>
          <w:rStyle w:val="11"/>
          <w:rFonts w:ascii="仿宋_GB2312" w:hAnsi="仿宋_GB2312" w:eastAsia="仿宋_GB2312" w:cs="仿宋_GB2312"/>
          <w:b w:val="0"/>
          <w:color w:val="auto"/>
          <w:kern w:val="0"/>
          <w:sz w:val="32"/>
          <w:szCs w:val="32"/>
          <w:highlight w:val="none"/>
          <w:shd w:val="clear" w:color="auto" w:fill="auto"/>
        </w:rPr>
        <w:t>围绕超大型液压机拓扑优化与轻量化，聚焦重载液压机直驱式伺服泵控系统、超大直径环轧机、焊接式热模锻压机身、热模锻压力机等整机和关键部件研制中关键科学问题开展应用基础研究。</w:t>
      </w:r>
    </w:p>
    <w:p>
      <w:pPr>
        <w:keepNext w:val="0"/>
        <w:keepLines w:val="0"/>
        <w:pageBreakBefore w:val="0"/>
        <w:widowControl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line="560" w:lineRule="exact"/>
        <w:ind w:firstLine="640" w:firstLineChars="200"/>
        <w:textAlignment w:val="auto"/>
        <w:rPr>
          <w:rFonts w:hint="eastAsia" w:ascii="楷体" w:eastAsia="楷体"/>
          <w:vanish w:val="0"/>
          <w:color w:val="auto"/>
          <w:kern w:val="2"/>
          <w:sz w:val="32"/>
          <w:szCs w:val="32"/>
          <w:highlight w:val="none"/>
          <w:shd w:val="clear" w:color="auto" w:fill="auto"/>
        </w:rPr>
      </w:pPr>
      <w:r>
        <w:rPr>
          <w:rFonts w:hint="eastAsia" w:ascii="楷体" w:eastAsia="楷体"/>
          <w:vanish w:val="0"/>
          <w:color w:val="auto"/>
          <w:kern w:val="2"/>
          <w:sz w:val="32"/>
          <w:szCs w:val="32"/>
          <w:highlight w:val="none"/>
          <w:shd w:val="clear" w:color="auto" w:fill="auto"/>
        </w:rPr>
        <w:t>（</w:t>
      </w:r>
      <w:r>
        <w:rPr>
          <w:rFonts w:ascii="楷体" w:eastAsia="楷体"/>
          <w:vanish w:val="0"/>
          <w:color w:val="auto"/>
          <w:kern w:val="2"/>
          <w:sz w:val="32"/>
          <w:szCs w:val="32"/>
          <w:highlight w:val="none"/>
          <w:shd w:val="clear" w:color="auto" w:fill="auto"/>
        </w:rPr>
        <w:t>二</w:t>
      </w:r>
      <w:r>
        <w:rPr>
          <w:rFonts w:hint="eastAsia" w:ascii="楷体" w:eastAsia="楷体"/>
          <w:vanish w:val="0"/>
          <w:color w:val="auto"/>
          <w:kern w:val="2"/>
          <w:sz w:val="32"/>
          <w:szCs w:val="32"/>
          <w:highlight w:val="none"/>
          <w:shd w:val="clear" w:color="auto" w:fill="auto"/>
        </w:rPr>
        <w:t>）重点项目</w:t>
      </w:r>
      <w:r>
        <w:rPr>
          <w:rFonts w:hint="default" w:ascii="楷体" w:eastAsia="楷体"/>
          <w:vanish w:val="0"/>
          <w:color w:val="auto"/>
          <w:kern w:val="2"/>
          <w:sz w:val="32"/>
          <w:szCs w:val="32"/>
          <w:highlight w:val="none"/>
          <w:shd w:val="clear" w:color="auto" w:fill="auto"/>
        </w:rPr>
        <w:t>（农产品精深加工领域）</w:t>
      </w:r>
      <w:r>
        <w:rPr>
          <w:rFonts w:hint="eastAsia" w:ascii="楷体" w:eastAsia="楷体"/>
          <w:vanish w:val="0"/>
          <w:color w:val="auto"/>
          <w:kern w:val="2"/>
          <w:sz w:val="32"/>
          <w:szCs w:val="32"/>
          <w:highlight w:val="none"/>
          <w:shd w:val="clear" w:color="auto" w:fill="auto"/>
        </w:rPr>
        <w:t>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1.玉米芯酶解物有效成分提取效率提升机制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2.玉米深加工副产母液高值化利用方法与策略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3.功能性玉米食品核心营养素富集与强化机制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4.基于玉米加工副产物的饲用配料增效机制及功能研究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5.发酵法生产脂溶性维生素K提取与纯化效率提升机制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6.玉米酒精副产物S浆高效降粘机制及活性营养成分保留方法</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7.绿色有机预制食品（玉米大豆等）营养强化机理与应用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8.色氨酸合成的细胞元件智能开发与底盘菌种创制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9.基于使能技术的微生物合成黄原胶碳代谢调控与网络构建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10.酶法催化合成D-泛酸钙的动力学仿生体系与绿色精制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11.玉米须活性成分干预脂肪性肝病免疫调节机制及玉米须茶创制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12.鲜食玉米核心品质及感官特征解析与优质风味资源筛选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13.富硒发酵米制品健康组分及功能调控的分子机制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14.米糠中脂肪的稳态化及发酵处理下的各营养组分演替规律</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15.智能化碾磨对稻米营养及口感的保持机制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16.黑龙江主栽粳米的米糠组分解析及梯次利用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17.稻谷中不溶性功能成分的同步提取及转化利用机制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18.粳稻全资源化利用及全谷物主食产品质地改善机制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19.米糠主要功能成分的富集及稳态化机制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20.物理调控技术下稻谷整粒保持的分子机制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21.米源阿魏酸的生物定向转化及构效关系研究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22.复合挤压重组米淀粉结构变化及低GI特性形成的分子机制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23.糯稻加工过程淀粉聚集行为及功能特性调控机制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24.响水大米特征风味物质代谢及适度加工品质保持机制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25.腐乳发酵核心微生物挖掘及定向发酵调控机制解析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26.大豆基冷冻食品加工组分复合效应对质地改良的影响机制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27.基于生物水解的功能性低脂豆粉生物利用提升机制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28.大豆功能油脂多元组分设计及绿色改性机制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29.大豆蛋白加工废水功能组分高效分离及功能调控机制解析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30.豆渣膳食纤维可溶性组分转化和品质提升机制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31.大豆豆粕原料加工适宜性评价及生物增值改性机制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32.大豆原料特性与意大利面加工品质构效关系模型构建及机制解析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33.特定功能豆乳粉多组分协同互作及功能强化修饰机制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34.豆花粉酸热诱导凝胶网络形成及食用品质影响调控机制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35.光谱-成像-介电多源特征融合的大豆/玉米品质与缺陷识别机理研究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36.基于“清洁标签”策略的肉制品品质及安全提升机制研究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37.基于营养调控策略的安格斯雪花牛肉高品质形成机制研究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38.基于畜副产物功能因子的肉制品品质增效体系构建与机制研究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39.绿色调控手段抑制传统香肠品质劣质及提升贮藏稳定性的机制研究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40.冷水鱼资源高值化利用及其加工品质调控机制研究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41.高品质发酵乳风味与功能特性的提升机制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42.添加物及加工方式对原制奶酪功能特性的影响机理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43.动物黄油调控高纤烘焙产品品质特性的作用机制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44.加工工艺调控婴儿配方乳粉品质特性的关联机制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45.精细化分离对乳蛋白活性影响及其高效靶向递送的研究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46.功能性乳品微藻控糖功能性成分挖掘与产品品质的提升机制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47.绿色功能性添加剂改善奶山羊健康与乳品质量的研究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48.动植物双蛋白成人乳粉品质特性及营养评价的研究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49.多种食源性物料生产线智能制造的研究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50.基于低聚乳糖源的稀有糖底盘细胞元件挖掘与绿色合成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51.紫苏核心活性成分提取纯化方法及功效评价研究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52.α-亚麻酸甘油二酯微囊靶向释放规律及生物功能调控机制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53.鹿产品活性成分改善神经退行性疾病作用及机制研究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54.寒地药食同源中药发酵方法及活性成分转化机制研究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55.黄芪、黄精、赤芍等道地药材种质资源评价及加工过程质量控制策略研究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56.药食同源中药活性多糖制备方法及构效关系研究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57.灵芝、刺五加等道地药材活性成分绿色高效提取纯化方法与作用机制研究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58.满山红毒性成分检测方法及多靶点止咳作用机制研究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59.寒地林果抗抑郁活性成分挖掘及其功效机制研究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60.桦树汁品质调控与功能组分高效制备机理研究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61.松茸和花菇多糖生物活性功能研究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62.寒地小浆果活性因子挖掘及其加工稳态调控机制研究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63.林蛙油肿瘤辅助干预和康复功效及机制研究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64.红松种仁蛋白生物利用度特征调控及功效解析</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65.寒地雪蜜等功能性蜂产品活性成分及其功能挖掘</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66.东北黑蜂蓝莓复配产品中活性成分生物转化机制研究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67.微生物发酵对桦褐孔菌活性因子的转化机制研究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68.深层共发酵对赤松茸多糖的结构改造机制研究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69.液体发酵提升元磨等食用菌多糖抗氧化能力的机制研究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70.黑木耳废弃菌渣重构土壤根际微生态的分子机理研究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71.菌菇风味保持与异味去除机制研究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72.林下食药用菌多糖全链条质控体系构建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73.小麦加工副产物酶活性稳定性及风味提升机制研究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74.基于肠道益生的杂粮菌种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75.多菌种协同发酵的淀粉慢消化调控机制研究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76.高水分挤压过程蛋白解聚-再聚集及微膨化纤维结构的诱导调控机制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77.马铃薯块茎淀粉-果胶-蛋白复合体的解离机制及其对淀粉分离品质的调控机理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78.杂粮-豆类特征活性组分与冷冻胶体基质的界面相互作用机理研究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79.杂粮-主粮复配体系中组分互作对质构及冻-烤稳定性的调控机理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80.冷冻胁迫下杂粮-主粮复合蛋白聚集与冰晶调控的构效机制研究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81.龙江特色食品真空冻干过程中多项传质-品质演变耦合机制及预测模型研究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82.乳酸菌发酵酸菜品质稳定提升机理及关键技术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83.果蔬番茄红素、叶黄素高效提取机制及其产品研发</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84.基于生物编辑技术的高产维生素B12菌株筛选及对甜菜碱代谢影响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eastAsia="仿宋_GB2312"/>
          <w:vanish w:val="0"/>
          <w:color w:val="auto"/>
          <w:kern w:val="2"/>
          <w:sz w:val="32"/>
          <w:szCs w:val="32"/>
          <w:highlight w:val="none"/>
          <w:shd w:val="clear" w:color="auto" w:fill="auto"/>
        </w:rPr>
      </w:pPr>
      <w:r>
        <w:rPr>
          <w:rFonts w:hint="default" w:ascii="仿宋_GB2312" w:eastAsia="仿宋_GB2312"/>
          <w:vanish w:val="0"/>
          <w:color w:val="auto"/>
          <w:kern w:val="2"/>
          <w:sz w:val="32"/>
          <w:szCs w:val="32"/>
          <w:highlight w:val="none"/>
          <w:shd w:val="clear" w:color="auto" w:fill="auto"/>
        </w:rPr>
        <w:t>85.食品冻干过程品质演变机制及智能调控系统构建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eastAsia="黑体"/>
          <w:b w:val="0"/>
          <w:bCs w:val="0"/>
          <w:color w:val="auto"/>
          <w:sz w:val="32"/>
          <w:szCs w:val="32"/>
          <w:highlight w:val="none"/>
          <w:shd w:val="clear" w:color="auto" w:fill="auto"/>
        </w:rPr>
      </w:pPr>
      <w:r>
        <w:rPr>
          <w:rFonts w:ascii="黑体" w:eastAsia="黑体"/>
          <w:b w:val="0"/>
          <w:bCs w:val="0"/>
          <w:color w:val="auto"/>
          <w:sz w:val="32"/>
          <w:szCs w:val="32"/>
          <w:highlight w:val="none"/>
          <w:shd w:val="clear" w:color="auto" w:fill="auto"/>
        </w:rPr>
        <w:t>三、</w:t>
      </w:r>
      <w:r>
        <w:rPr>
          <w:rFonts w:hint="eastAsia" w:ascii="黑体" w:eastAsia="黑体"/>
          <w:b w:val="0"/>
          <w:bCs w:val="0"/>
          <w:color w:val="auto"/>
          <w:sz w:val="32"/>
          <w:szCs w:val="32"/>
          <w:highlight w:val="none"/>
          <w:shd w:val="clear" w:color="auto" w:fill="auto"/>
        </w:rPr>
        <w:t>申请书撰写要求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（一）</w:t>
      </w:r>
      <w:r>
        <w:rPr>
          <w:rFonts w:hint="eastAsia" w:ascii="仿宋_GB2312" w:eastAsia="仿宋_GB2312"/>
          <w:b w:val="0"/>
          <w:bCs w:val="0"/>
          <w:color w:val="auto"/>
          <w:sz w:val="32"/>
          <w:szCs w:val="32"/>
          <w:highlight w:val="none"/>
          <w:shd w:val="clear" w:color="auto" w:fill="auto"/>
        </w:rPr>
        <w:t>在撰写申请书之前要认真阅读</w:t>
      </w:r>
      <w:r>
        <w:rPr>
          <w:rFonts w:ascii="仿宋_GB2312" w:eastAsia="仿宋_GB2312"/>
          <w:b w:val="0"/>
          <w:bCs w:val="0"/>
          <w:color w:val="auto"/>
          <w:sz w:val="32"/>
          <w:szCs w:val="32"/>
          <w:highlight w:val="none"/>
          <w:shd w:val="clear" w:color="auto" w:fill="auto"/>
        </w:rPr>
        <w:t>本</w:t>
      </w:r>
      <w:r>
        <w:rPr>
          <w:rFonts w:hint="eastAsia" w:ascii="仿宋_GB2312" w:eastAsia="仿宋_GB2312"/>
          <w:b w:val="0"/>
          <w:bCs w:val="0"/>
          <w:color w:val="auto"/>
          <w:sz w:val="32"/>
          <w:szCs w:val="32"/>
          <w:highlight w:val="none"/>
          <w:shd w:val="clear" w:color="auto" w:fill="auto"/>
        </w:rPr>
        <w:t>《指南》和与省自然科学基金相关规定、管理办法和申报通知等文件。在撰写申请书时严格按照要求填写相关内容，避免因不了解省自然科学基金的有关规定而不能通过形式审查。</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（二）</w:t>
      </w:r>
      <w:r>
        <w:rPr>
          <w:rFonts w:hint="eastAsia" w:ascii="仿宋_GB2312" w:eastAsia="仿宋_GB2312"/>
          <w:b w:val="0"/>
          <w:bCs w:val="0"/>
          <w:color w:val="auto"/>
          <w:sz w:val="32"/>
          <w:szCs w:val="32"/>
          <w:highlight w:val="none"/>
          <w:shd w:val="clear" w:color="auto" w:fill="auto"/>
        </w:rPr>
        <w:t>项目申请实行网上填报、无纸化申请，不接收个人直接报送和非依托单位报送的申请材料，申请人可在申报系统首页“帮助中心”专栏下载网上申报操作指南。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（三）</w:t>
      </w:r>
      <w:r>
        <w:rPr>
          <w:rFonts w:hint="eastAsia" w:ascii="仿宋_GB2312" w:eastAsia="仿宋_GB2312"/>
          <w:b w:val="0"/>
          <w:bCs w:val="0"/>
          <w:color w:val="auto"/>
          <w:sz w:val="32"/>
          <w:szCs w:val="32"/>
          <w:highlight w:val="none"/>
          <w:shd w:val="clear" w:color="auto" w:fill="auto"/>
        </w:rPr>
        <w:t>申请书应当由申请人本人撰写，申请人和主要参与者应规范个人简历填写，并注意在申请书中不得出现任何违反法律及涉密</w:t>
      </w:r>
      <w:r>
        <w:rPr>
          <w:rFonts w:ascii="仿宋_GB2312" w:eastAsia="仿宋_GB2312"/>
          <w:b w:val="0"/>
          <w:bCs w:val="0"/>
          <w:color w:val="auto"/>
          <w:sz w:val="32"/>
          <w:szCs w:val="32"/>
          <w:highlight w:val="none"/>
          <w:shd w:val="clear" w:color="auto" w:fill="auto"/>
        </w:rPr>
        <w:t>、</w:t>
      </w:r>
      <w:r>
        <w:rPr>
          <w:rFonts w:ascii="仿宋_GB2312" w:eastAsia="仿宋_GB2312"/>
          <w:b w:val="0"/>
          <w:bCs w:val="0"/>
          <w:color w:val="auto"/>
          <w:sz w:val="32"/>
          <w:szCs w:val="32"/>
          <w:highlight w:val="none"/>
          <w:u w:val="none"/>
          <w:shd w:val="clear" w:color="auto" w:fill="auto"/>
        </w:rPr>
        <w:t>敏感</w:t>
      </w:r>
      <w:r>
        <w:rPr>
          <w:rFonts w:hint="eastAsia" w:ascii="仿宋_GB2312" w:eastAsia="仿宋_GB2312"/>
          <w:b w:val="0"/>
          <w:bCs w:val="0"/>
          <w:color w:val="auto"/>
          <w:sz w:val="32"/>
          <w:szCs w:val="32"/>
          <w:highlight w:val="none"/>
          <w:shd w:val="clear" w:color="auto" w:fill="auto"/>
        </w:rPr>
        <w:t>的内容。申请人应对所提交申请材料的真实性、合法性、保密性负责。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（四）</w:t>
      </w:r>
      <w:r>
        <w:rPr>
          <w:rFonts w:ascii="仿宋_GB2312" w:eastAsia="仿宋_GB2312"/>
          <w:color w:val="auto"/>
          <w:sz w:val="32"/>
          <w:szCs w:val="32"/>
          <w:highlight w:val="none"/>
          <w:shd w:val="clear" w:color="auto" w:fill="auto"/>
        </w:rPr>
        <w:t>申请</w:t>
      </w:r>
      <w:r>
        <w:rPr>
          <w:rFonts w:hint="eastAsia" w:ascii="仿宋_GB2312" w:eastAsia="仿宋_GB2312"/>
          <w:color w:val="auto"/>
          <w:sz w:val="32"/>
          <w:szCs w:val="32"/>
          <w:highlight w:val="none"/>
          <w:shd w:val="clear" w:color="auto" w:fill="auto"/>
        </w:rPr>
        <w:t>项目中有合作单位的，依托单位应当与合作单位签订合作协议，明确各方权利义务、经费分配、知识产权归属、法律责任等。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（五）</w:t>
      </w:r>
      <w:r>
        <w:rPr>
          <w:rFonts w:hint="eastAsia" w:ascii="仿宋_GB2312" w:eastAsia="仿宋_GB2312"/>
          <w:b w:val="0"/>
          <w:bCs w:val="0"/>
          <w:color w:val="auto"/>
          <w:sz w:val="32"/>
          <w:szCs w:val="32"/>
          <w:highlight w:val="none"/>
          <w:shd w:val="clear" w:color="auto" w:fill="auto"/>
        </w:rPr>
        <w:t>申请人应当根据所申请项目研究内容和解决的关键问题的研究方向或研究领域，按照</w:t>
      </w:r>
      <w:r>
        <w:rPr>
          <w:rFonts w:hint="eastAsia" w:ascii="仿宋_GB2312" w:eastAsia="仿宋_GB2312" w:cs="仿宋_GB2312"/>
          <w:b w:val="0"/>
          <w:bCs w:val="0"/>
          <w:color w:val="auto"/>
          <w:sz w:val="32"/>
          <w:szCs w:val="32"/>
          <w:highlight w:val="none"/>
          <w:shd w:val="clear" w:color="auto" w:fill="auto"/>
        </w:rPr>
        <w:t>“</w:t>
      </w:r>
      <w:r>
        <w:rPr>
          <w:rFonts w:hint="eastAsia" w:ascii="仿宋_GB2312" w:eastAsia="仿宋_GB2312"/>
          <w:b w:val="0"/>
          <w:bCs w:val="0"/>
          <w:color w:val="auto"/>
          <w:sz w:val="32"/>
          <w:szCs w:val="32"/>
          <w:highlight w:val="none"/>
          <w:shd w:val="clear" w:color="auto" w:fill="auto"/>
        </w:rPr>
        <w:t>省自然科学基金申请代码”，在网络申报系统准确选择申请代码，特别注意：</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1.选择申请代码时，必须选择到最后一级（4位数字）。</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2.申请人选择的申请代码1是遴选评审专家的依据，申请代码2作为补充。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w:t>
      </w:r>
      <w:r>
        <w:rPr>
          <w:rFonts w:ascii="楷体_GB2312" w:eastAsia="楷体_GB2312"/>
          <w:b w:val="0"/>
          <w:bCs w:val="0"/>
          <w:color w:val="auto"/>
          <w:sz w:val="32"/>
          <w:szCs w:val="32"/>
          <w:highlight w:val="none"/>
          <w:shd w:val="clear" w:color="auto" w:fill="auto"/>
        </w:rPr>
        <w:t>六</w:t>
      </w:r>
      <w:r>
        <w:rPr>
          <w:rFonts w:hint="eastAsia" w:ascii="楷体_GB2312" w:eastAsia="楷体_GB2312"/>
          <w:b w:val="0"/>
          <w:bCs w:val="0"/>
          <w:color w:val="auto"/>
          <w:sz w:val="32"/>
          <w:szCs w:val="32"/>
          <w:highlight w:val="none"/>
          <w:shd w:val="clear" w:color="auto" w:fill="auto"/>
        </w:rPr>
        <w:t>）</w:t>
      </w:r>
      <w:r>
        <w:rPr>
          <w:rFonts w:hint="eastAsia" w:ascii="仿宋_GB2312" w:eastAsia="仿宋_GB2312"/>
          <w:b w:val="0"/>
          <w:bCs w:val="0"/>
          <w:color w:val="auto"/>
          <w:sz w:val="32"/>
          <w:szCs w:val="32"/>
          <w:highlight w:val="none"/>
          <w:shd w:val="clear" w:color="auto" w:fill="auto"/>
        </w:rPr>
        <w:t>申请人申请省自然科学基金项目的相关研究内容已获得其他渠道或项目资助的，请务必在申请书中说明受资助情况以及与申请项目的区别和联系。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w:t>
      </w:r>
      <w:r>
        <w:rPr>
          <w:rFonts w:ascii="楷体_GB2312" w:eastAsia="楷体_GB2312"/>
          <w:b w:val="0"/>
          <w:bCs w:val="0"/>
          <w:color w:val="auto"/>
          <w:sz w:val="32"/>
          <w:szCs w:val="32"/>
          <w:highlight w:val="none"/>
          <w:shd w:val="clear" w:color="auto" w:fill="auto"/>
        </w:rPr>
        <w:t>七</w:t>
      </w:r>
      <w:r>
        <w:rPr>
          <w:rFonts w:hint="eastAsia" w:ascii="楷体_GB2312" w:eastAsia="楷体_GB2312"/>
          <w:b w:val="0"/>
          <w:bCs w:val="0"/>
          <w:color w:val="auto"/>
          <w:sz w:val="32"/>
          <w:szCs w:val="32"/>
          <w:highlight w:val="none"/>
          <w:shd w:val="clear" w:color="auto" w:fill="auto"/>
        </w:rPr>
        <w:t>）</w:t>
      </w:r>
      <w:r>
        <w:rPr>
          <w:rFonts w:hint="eastAsia" w:ascii="仿宋_GB2312" w:eastAsia="仿宋_GB2312" w:cs="仿宋_GB2312"/>
          <w:b w:val="0"/>
          <w:bCs w:val="0"/>
          <w:color w:val="auto"/>
          <w:sz w:val="32"/>
          <w:szCs w:val="32"/>
          <w:highlight w:val="none"/>
          <w:shd w:val="clear" w:color="auto" w:fill="auto"/>
        </w:rPr>
        <w:t>申请人应克服“四唯”不良倾向，填报</w:t>
      </w:r>
      <w:r>
        <w:rPr>
          <w:rFonts w:hint="eastAsia" w:ascii="仿宋_GB2312" w:eastAsia="仿宋_GB2312"/>
          <w:b w:val="0"/>
          <w:bCs w:val="0"/>
          <w:color w:val="auto"/>
          <w:sz w:val="32"/>
          <w:szCs w:val="32"/>
          <w:highlight w:val="none"/>
          <w:shd w:val="clear" w:color="auto" w:fill="auto"/>
        </w:rPr>
        <w:t>申请书中</w:t>
      </w:r>
      <w:r>
        <w:rPr>
          <w:rFonts w:ascii="仿宋_GB2312" w:eastAsia="仿宋_GB2312"/>
          <w:b w:val="0"/>
          <w:bCs w:val="0"/>
          <w:color w:val="auto"/>
          <w:sz w:val="32"/>
          <w:szCs w:val="32"/>
          <w:highlight w:val="none"/>
          <w:shd w:val="clear" w:color="auto" w:fill="auto"/>
        </w:rPr>
        <w:t>绩效目标（</w:t>
      </w:r>
      <w:r>
        <w:rPr>
          <w:rFonts w:hint="eastAsia" w:ascii="仿宋_GB2312" w:eastAsia="仿宋_GB2312"/>
          <w:b w:val="0"/>
          <w:bCs w:val="0"/>
          <w:color w:val="auto"/>
          <w:sz w:val="32"/>
          <w:szCs w:val="32"/>
          <w:highlight w:val="none"/>
          <w:shd w:val="clear" w:color="auto" w:fill="auto"/>
        </w:rPr>
        <w:t>预期研究成果</w:t>
      </w:r>
      <w:r>
        <w:rPr>
          <w:rFonts w:ascii="仿宋_GB2312" w:eastAsia="仿宋_GB2312"/>
          <w:b w:val="0"/>
          <w:bCs w:val="0"/>
          <w:color w:val="auto"/>
          <w:sz w:val="32"/>
          <w:szCs w:val="32"/>
          <w:highlight w:val="none"/>
          <w:shd w:val="clear" w:color="auto" w:fill="auto"/>
        </w:rPr>
        <w:t>和水平）</w:t>
      </w:r>
      <w:r>
        <w:rPr>
          <w:rFonts w:hint="eastAsia" w:ascii="仿宋_GB2312" w:eastAsia="仿宋_GB2312"/>
          <w:b w:val="0"/>
          <w:bCs w:val="0"/>
          <w:color w:val="auto"/>
          <w:sz w:val="32"/>
          <w:szCs w:val="32"/>
          <w:highlight w:val="none"/>
          <w:shd w:val="clear" w:color="auto" w:fill="auto"/>
        </w:rPr>
        <w:t>量化考核指标时，应实事求是、量力而行，根据申请项目资助强度及所在单位经费配套政策，确定合理的研究任务、目标和预期成果，</w:t>
      </w:r>
      <w:r>
        <w:rPr>
          <w:rFonts w:hint="eastAsia" w:ascii="仿宋_GB2312" w:eastAsia="仿宋_GB2312" w:cs="仿宋_GB2312"/>
          <w:b w:val="0"/>
          <w:bCs w:val="0"/>
          <w:color w:val="auto"/>
          <w:sz w:val="32"/>
          <w:szCs w:val="32"/>
          <w:highlight w:val="none"/>
          <w:shd w:val="clear" w:color="auto" w:fill="auto"/>
        </w:rPr>
        <w:t>注重标志性成果的质量、贡献和影响</w:t>
      </w:r>
      <w:r>
        <w:rPr>
          <w:rFonts w:hint="eastAsia" w:ascii="仿宋_GB2312" w:eastAsia="仿宋_GB2312"/>
          <w:b w:val="0"/>
          <w:bCs w:val="0"/>
          <w:color w:val="auto"/>
          <w:sz w:val="32"/>
          <w:szCs w:val="32"/>
          <w:highlight w:val="none"/>
          <w:shd w:val="clear" w:color="auto" w:fill="auto"/>
        </w:rPr>
        <w:t>。合理确定代表作数量，预期发表</w:t>
      </w:r>
      <w:r>
        <w:rPr>
          <w:rFonts w:ascii="仿宋_GB2312" w:eastAsia="仿宋_GB2312"/>
          <w:b w:val="0"/>
          <w:bCs w:val="0"/>
          <w:color w:val="auto"/>
          <w:sz w:val="32"/>
          <w:szCs w:val="32"/>
          <w:highlight w:val="none"/>
          <w:shd w:val="clear" w:color="auto" w:fill="auto"/>
        </w:rPr>
        <w:t>代表性</w:t>
      </w:r>
      <w:r>
        <w:rPr>
          <w:rFonts w:hint="eastAsia" w:ascii="仿宋_GB2312" w:eastAsia="仿宋_GB2312" w:cs="仿宋_GB2312"/>
          <w:b w:val="0"/>
          <w:bCs w:val="0"/>
          <w:color w:val="auto"/>
          <w:sz w:val="32"/>
          <w:szCs w:val="32"/>
          <w:highlight w:val="none"/>
          <w:shd w:val="clear" w:color="auto" w:fill="auto"/>
        </w:rPr>
        <w:t>论文</w:t>
      </w:r>
      <w:r>
        <w:rPr>
          <w:rFonts w:hint="eastAsia" w:ascii="仿宋_GB2312" w:eastAsia="仿宋_GB2312"/>
          <w:b w:val="0"/>
          <w:bCs w:val="0"/>
          <w:color w:val="auto"/>
          <w:sz w:val="32"/>
          <w:szCs w:val="32"/>
          <w:highlight w:val="none"/>
          <w:shd w:val="clear" w:color="auto" w:fill="auto"/>
        </w:rPr>
        <w:t>不应超过3篇。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w:t>
      </w:r>
      <w:r>
        <w:rPr>
          <w:rFonts w:ascii="楷体_GB2312" w:eastAsia="楷体_GB2312"/>
          <w:b w:val="0"/>
          <w:bCs w:val="0"/>
          <w:color w:val="auto"/>
          <w:sz w:val="32"/>
          <w:szCs w:val="32"/>
          <w:highlight w:val="none"/>
          <w:shd w:val="clear" w:color="auto" w:fill="auto"/>
        </w:rPr>
        <w:t>八</w:t>
      </w:r>
      <w:r>
        <w:rPr>
          <w:rFonts w:hint="eastAsia" w:ascii="楷体_GB2312" w:eastAsia="楷体_GB2312"/>
          <w:b w:val="0"/>
          <w:bCs w:val="0"/>
          <w:color w:val="auto"/>
          <w:sz w:val="32"/>
          <w:szCs w:val="32"/>
          <w:highlight w:val="none"/>
          <w:shd w:val="clear" w:color="auto" w:fill="auto"/>
        </w:rPr>
        <w:t>）</w:t>
      </w:r>
      <w:r>
        <w:rPr>
          <w:rFonts w:hint="eastAsia" w:ascii="仿宋_GB2312" w:eastAsia="仿宋_GB2312"/>
          <w:b w:val="0"/>
          <w:bCs w:val="0"/>
          <w:color w:val="auto"/>
          <w:sz w:val="32"/>
          <w:szCs w:val="32"/>
          <w:highlight w:val="none"/>
          <w:shd w:val="clear" w:color="auto" w:fill="auto"/>
        </w:rPr>
        <w:t>项目立项后，申请书中的项目组成员、研究目标、研究内容、研究计划、预期研究成果等所有内容将直接作为</w:t>
      </w:r>
      <w:r>
        <w:rPr>
          <w:rFonts w:ascii="仿宋_GB2312" w:eastAsia="仿宋_GB2312"/>
          <w:b w:val="0"/>
          <w:bCs w:val="0"/>
          <w:color w:val="auto"/>
          <w:sz w:val="32"/>
          <w:szCs w:val="32"/>
          <w:highlight w:val="none"/>
          <w:shd w:val="clear" w:color="auto" w:fill="auto"/>
        </w:rPr>
        <w:t>项目</w:t>
      </w:r>
      <w:r>
        <w:rPr>
          <w:rFonts w:hint="eastAsia" w:ascii="仿宋_GB2312" w:eastAsia="仿宋_GB2312"/>
          <w:b w:val="0"/>
          <w:bCs w:val="0"/>
          <w:color w:val="auto"/>
          <w:sz w:val="32"/>
          <w:szCs w:val="32"/>
          <w:highlight w:val="none"/>
          <w:shd w:val="clear" w:color="auto" w:fill="auto"/>
        </w:rPr>
        <w:t>计划</w:t>
      </w:r>
      <w:r>
        <w:rPr>
          <w:rFonts w:ascii="仿宋_GB2312" w:eastAsia="仿宋_GB2312"/>
          <w:b w:val="0"/>
          <w:bCs w:val="0"/>
          <w:color w:val="auto"/>
          <w:sz w:val="32"/>
          <w:szCs w:val="32"/>
          <w:highlight w:val="none"/>
          <w:shd w:val="clear" w:color="auto" w:fill="auto"/>
        </w:rPr>
        <w:t>任务</w:t>
      </w:r>
      <w:r>
        <w:rPr>
          <w:rFonts w:hint="eastAsia" w:ascii="仿宋_GB2312" w:eastAsia="仿宋_GB2312"/>
          <w:b w:val="0"/>
          <w:bCs w:val="0"/>
          <w:color w:val="auto"/>
          <w:sz w:val="32"/>
          <w:szCs w:val="32"/>
          <w:highlight w:val="none"/>
          <w:shd w:val="clear" w:color="auto" w:fill="auto"/>
        </w:rPr>
        <w:t>书内容，申请人不得更改计划书内容。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w:t>
      </w:r>
      <w:r>
        <w:rPr>
          <w:rFonts w:ascii="楷体_GB2312" w:eastAsia="楷体_GB2312"/>
          <w:b w:val="0"/>
          <w:bCs w:val="0"/>
          <w:color w:val="auto"/>
          <w:sz w:val="32"/>
          <w:szCs w:val="32"/>
          <w:highlight w:val="none"/>
          <w:shd w:val="clear" w:color="auto" w:fill="auto"/>
        </w:rPr>
        <w:t>九</w:t>
      </w:r>
      <w:r>
        <w:rPr>
          <w:rFonts w:hint="eastAsia" w:ascii="楷体_GB2312" w:eastAsia="楷体_GB2312"/>
          <w:b w:val="0"/>
          <w:bCs w:val="0"/>
          <w:color w:val="auto"/>
          <w:sz w:val="32"/>
          <w:szCs w:val="32"/>
          <w:highlight w:val="none"/>
          <w:shd w:val="clear" w:color="auto" w:fill="auto"/>
        </w:rPr>
        <w:t>）</w:t>
      </w:r>
      <w:r>
        <w:rPr>
          <w:rFonts w:hint="eastAsia" w:ascii="仿宋_GB2312" w:eastAsia="仿宋_GB2312"/>
          <w:b w:val="0"/>
          <w:bCs w:val="0"/>
          <w:color w:val="auto"/>
          <w:sz w:val="32"/>
          <w:szCs w:val="32"/>
          <w:highlight w:val="none"/>
          <w:shd w:val="clear" w:color="auto" w:fill="auto"/>
        </w:rPr>
        <w:t>项目形成的论文</w:t>
      </w:r>
      <w:r>
        <w:rPr>
          <w:rFonts w:ascii="仿宋_GB2312" w:eastAsia="仿宋_GB2312"/>
          <w:b w:val="0"/>
          <w:bCs w:val="0"/>
          <w:color w:val="auto"/>
          <w:sz w:val="32"/>
          <w:szCs w:val="32"/>
          <w:highlight w:val="none"/>
          <w:shd w:val="clear" w:color="auto" w:fill="auto"/>
        </w:rPr>
        <w:t>、</w:t>
      </w:r>
      <w:r>
        <w:rPr>
          <w:rFonts w:ascii="仿宋_GB2312" w:eastAsia="仿宋_GB2312"/>
          <w:b w:val="0"/>
          <w:bCs w:val="0"/>
          <w:color w:val="auto"/>
          <w:sz w:val="32"/>
          <w:szCs w:val="32"/>
          <w:highlight w:val="none"/>
          <w:u w:val="none"/>
          <w:shd w:val="clear" w:color="auto" w:fill="auto"/>
        </w:rPr>
        <w:t>专著</w:t>
      </w:r>
      <w:r>
        <w:rPr>
          <w:rFonts w:hint="eastAsia" w:ascii="仿宋_GB2312" w:eastAsia="仿宋_GB2312"/>
          <w:b w:val="0"/>
          <w:bCs w:val="0"/>
          <w:color w:val="auto"/>
          <w:sz w:val="32"/>
          <w:szCs w:val="32"/>
          <w:highlight w:val="none"/>
          <w:shd w:val="clear" w:color="auto" w:fill="auto"/>
        </w:rPr>
        <w:t>等研究成果须</w:t>
      </w:r>
      <w:r>
        <w:rPr>
          <w:rFonts w:ascii="仿宋_GB2312" w:eastAsia="仿宋_GB2312"/>
          <w:b w:val="0"/>
          <w:bCs w:val="0"/>
          <w:color w:val="auto"/>
          <w:sz w:val="32"/>
          <w:szCs w:val="32"/>
          <w:highlight w:val="none"/>
          <w:u w:val="none"/>
          <w:shd w:val="clear" w:color="auto" w:fill="auto"/>
        </w:rPr>
        <w:t>按</w:t>
      </w:r>
      <w:r>
        <w:rPr>
          <w:rFonts w:hint="eastAsia" w:ascii="仿宋_GB2312" w:eastAsia="仿宋_GB2312"/>
          <w:b w:val="0"/>
          <w:bCs w:val="0"/>
          <w:color w:val="auto"/>
          <w:sz w:val="32"/>
          <w:szCs w:val="32"/>
          <w:highlight w:val="none"/>
          <w:u w:val="none"/>
          <w:shd w:val="clear" w:color="auto" w:fill="auto"/>
        </w:rPr>
        <w:t>《办法》</w:t>
      </w:r>
      <w:r>
        <w:rPr>
          <w:rFonts w:ascii="仿宋_GB2312" w:eastAsia="仿宋_GB2312"/>
          <w:b w:val="0"/>
          <w:bCs w:val="0"/>
          <w:color w:val="auto"/>
          <w:sz w:val="32"/>
          <w:szCs w:val="32"/>
          <w:highlight w:val="none"/>
          <w:u w:val="none"/>
          <w:shd w:val="clear" w:color="auto" w:fill="auto"/>
        </w:rPr>
        <w:t>第三十八条规定，如实并使用中英文规范名称标注得到省自然科学基金项目资助和项目编号</w:t>
      </w:r>
      <w:r>
        <w:rPr>
          <w:rFonts w:hint="eastAsia" w:ascii="仿宋_GB2312" w:eastAsia="仿宋_GB2312"/>
          <w:b w:val="0"/>
          <w:bCs w:val="0"/>
          <w:color w:val="auto"/>
          <w:sz w:val="32"/>
          <w:szCs w:val="32"/>
          <w:highlight w:val="none"/>
          <w:u w:val="none"/>
          <w:shd w:val="clear" w:color="auto" w:fill="auto"/>
        </w:rPr>
        <w:t>。</w:t>
      </w:r>
      <w:r>
        <w:rPr>
          <w:rFonts w:hint="eastAsia" w:ascii="仿宋_GB2312" w:eastAsia="仿宋_GB2312"/>
          <w:b w:val="0"/>
          <w:bCs w:val="0"/>
          <w:color w:val="auto"/>
          <w:sz w:val="32"/>
          <w:szCs w:val="32"/>
          <w:highlight w:val="none"/>
          <w:shd w:val="clear" w:color="auto" w:fill="auto"/>
        </w:rPr>
        <w:t>申请人应是成果的主要完成人。论文如果与省自然科学基金多个项目有关，只能标注一个项目立项编号。</w:t>
      </w:r>
      <w:r>
        <w:rPr>
          <w:rFonts w:ascii="仿宋_GB2312" w:eastAsia="仿宋_GB2312"/>
          <w:b w:val="0"/>
          <w:bCs w:val="0"/>
          <w:color w:val="auto"/>
          <w:sz w:val="32"/>
          <w:szCs w:val="32"/>
          <w:highlight w:val="none"/>
          <w:u w:val="none"/>
          <w:shd w:val="clear" w:color="auto" w:fill="auto"/>
        </w:rPr>
        <w:t>未按要求进行标注的研究成果，不得作为项目结题验收和成果评价统计内容。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color w:val="auto"/>
          <w:sz w:val="32"/>
          <w:szCs w:val="32"/>
          <w:highlight w:val="none"/>
          <w:u w:val="none"/>
          <w:shd w:val="clear" w:color="auto" w:fill="auto"/>
        </w:rPr>
      </w:pPr>
      <w:r>
        <w:rPr>
          <w:rFonts w:hint="eastAsia" w:ascii="楷体_GB2312" w:eastAsia="楷体_GB2312"/>
          <w:b w:val="0"/>
          <w:bCs w:val="0"/>
          <w:color w:val="auto"/>
          <w:sz w:val="32"/>
          <w:szCs w:val="32"/>
          <w:highlight w:val="none"/>
          <w:shd w:val="clear" w:color="auto" w:fill="auto"/>
        </w:rPr>
        <w:t>（</w:t>
      </w:r>
      <w:r>
        <w:rPr>
          <w:rFonts w:ascii="楷体_GB2312" w:eastAsia="楷体_GB2312"/>
          <w:b w:val="0"/>
          <w:bCs w:val="0"/>
          <w:color w:val="auto"/>
          <w:sz w:val="32"/>
          <w:szCs w:val="32"/>
          <w:highlight w:val="none"/>
          <w:shd w:val="clear" w:color="auto" w:fill="auto"/>
        </w:rPr>
        <w:t>十</w:t>
      </w:r>
      <w:r>
        <w:rPr>
          <w:rFonts w:hint="eastAsia" w:ascii="楷体_GB2312" w:eastAsia="楷体_GB2312"/>
          <w:b w:val="0"/>
          <w:bCs w:val="0"/>
          <w:color w:val="auto"/>
          <w:sz w:val="32"/>
          <w:szCs w:val="32"/>
          <w:highlight w:val="none"/>
          <w:shd w:val="clear" w:color="auto" w:fill="auto"/>
        </w:rPr>
        <w:t>）</w:t>
      </w:r>
      <w:r>
        <w:rPr>
          <w:rFonts w:ascii="仿宋_GB2312" w:eastAsia="仿宋_GB2312"/>
          <w:b w:val="0"/>
          <w:bCs w:val="0"/>
          <w:color w:val="auto"/>
          <w:sz w:val="32"/>
          <w:szCs w:val="32"/>
          <w:highlight w:val="none"/>
          <w:u w:val="none"/>
          <w:shd w:val="clear" w:color="auto" w:fill="auto"/>
        </w:rPr>
        <w:t>凡涉及生命科学和生物技术的研究，应严格遵守国家生物安全有关法律法规的要求。涉及人体研究、实验动物的项目,应严格遵守科学伦理、实验动物、人类遗传资源管理等有关规定的要求，申请时须提供所在单位或上级主管单位伦理委员会审查意见，并以PDF文件上传材料原件扫描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黑体" w:eastAsia="黑体"/>
          <w:b w:val="0"/>
          <w:bCs w:val="0"/>
          <w:color w:val="auto"/>
          <w:sz w:val="32"/>
          <w:szCs w:val="32"/>
          <w:highlight w:val="none"/>
          <w:shd w:val="clear" w:color="auto" w:fill="auto"/>
        </w:rPr>
      </w:pPr>
      <w:r>
        <w:rPr>
          <w:rFonts w:ascii="黑体" w:eastAsia="黑体"/>
          <w:b w:val="0"/>
          <w:bCs w:val="0"/>
          <w:color w:val="auto"/>
          <w:sz w:val="32"/>
          <w:szCs w:val="32"/>
          <w:highlight w:val="none"/>
          <w:shd w:val="clear" w:color="auto" w:fill="auto"/>
        </w:rPr>
        <w:t>四</w:t>
      </w:r>
      <w:r>
        <w:rPr>
          <w:rFonts w:hint="eastAsia" w:ascii="黑体" w:eastAsia="黑体"/>
          <w:b w:val="0"/>
          <w:bCs w:val="0"/>
          <w:color w:val="auto"/>
          <w:sz w:val="32"/>
          <w:szCs w:val="32"/>
          <w:highlight w:val="none"/>
          <w:shd w:val="clear" w:color="auto" w:fill="auto"/>
        </w:rPr>
        <w:t>、</w:t>
      </w:r>
      <w:r>
        <w:rPr>
          <w:rFonts w:ascii="黑体" w:eastAsia="黑体"/>
          <w:b w:val="0"/>
          <w:bCs w:val="0"/>
          <w:color w:val="auto"/>
          <w:sz w:val="32"/>
          <w:szCs w:val="32"/>
          <w:highlight w:val="none"/>
          <w:shd w:val="clear" w:color="auto" w:fill="auto"/>
        </w:rPr>
        <w:t>关于</w:t>
      </w:r>
      <w:r>
        <w:rPr>
          <w:rFonts w:hint="eastAsia" w:ascii="黑体" w:eastAsia="黑体"/>
          <w:b w:val="0"/>
          <w:bCs w:val="0"/>
          <w:color w:val="auto"/>
          <w:sz w:val="32"/>
          <w:szCs w:val="32"/>
          <w:highlight w:val="none"/>
          <w:shd w:val="clear" w:color="auto" w:fill="auto"/>
        </w:rPr>
        <w:t>经费</w:t>
      </w:r>
      <w:r>
        <w:rPr>
          <w:rFonts w:ascii="黑体" w:eastAsia="黑体"/>
          <w:b w:val="0"/>
          <w:bCs w:val="0"/>
          <w:color w:val="auto"/>
          <w:sz w:val="32"/>
          <w:szCs w:val="32"/>
          <w:highlight w:val="none"/>
          <w:shd w:val="clear" w:color="auto" w:fill="auto"/>
        </w:rPr>
        <w:t>使用</w:t>
      </w:r>
      <w:r>
        <w:rPr>
          <w:rFonts w:hint="eastAsia" w:ascii="黑体" w:eastAsia="黑体"/>
          <w:b w:val="0"/>
          <w:bCs w:val="0"/>
          <w:color w:val="auto"/>
          <w:sz w:val="32"/>
          <w:szCs w:val="32"/>
          <w:highlight w:val="none"/>
          <w:shd w:val="clear" w:color="auto" w:fill="auto"/>
        </w:rPr>
        <w:t>“包干制”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u w:val="none"/>
          <w:shd w:val="clear" w:color="auto" w:fill="auto"/>
        </w:rPr>
        <w:t>省自然科学基金资助项目</w:t>
      </w:r>
      <w:r>
        <w:rPr>
          <w:rFonts w:ascii="仿宋_GB2312" w:eastAsia="仿宋_GB2312"/>
          <w:b w:val="0"/>
          <w:bCs w:val="0"/>
          <w:color w:val="auto"/>
          <w:sz w:val="32"/>
          <w:szCs w:val="32"/>
          <w:highlight w:val="none"/>
          <w:u w:val="none"/>
          <w:shd w:val="clear" w:color="auto" w:fill="auto"/>
        </w:rPr>
        <w:t>全部</w:t>
      </w:r>
      <w:r>
        <w:rPr>
          <w:rFonts w:hint="eastAsia" w:ascii="仿宋_GB2312" w:eastAsia="仿宋_GB2312"/>
          <w:b w:val="0"/>
          <w:bCs w:val="0"/>
          <w:color w:val="auto"/>
          <w:sz w:val="32"/>
          <w:szCs w:val="32"/>
          <w:highlight w:val="none"/>
          <w:u w:val="none"/>
          <w:shd w:val="clear" w:color="auto" w:fill="auto"/>
        </w:rPr>
        <w:t>试行经费</w:t>
      </w:r>
      <w:r>
        <w:rPr>
          <w:rFonts w:ascii="仿宋_GB2312" w:eastAsia="仿宋_GB2312"/>
          <w:b w:val="0"/>
          <w:bCs w:val="0"/>
          <w:color w:val="auto"/>
          <w:sz w:val="32"/>
          <w:szCs w:val="32"/>
          <w:highlight w:val="none"/>
          <w:u w:val="none"/>
          <w:shd w:val="clear" w:color="auto" w:fill="auto"/>
        </w:rPr>
        <w:t>使用</w:t>
      </w:r>
      <w:r>
        <w:rPr>
          <w:rFonts w:hint="eastAsia" w:ascii="仿宋_GB2312" w:eastAsia="仿宋_GB2312"/>
          <w:b w:val="0"/>
          <w:bCs w:val="0"/>
          <w:color w:val="auto"/>
          <w:sz w:val="32"/>
          <w:szCs w:val="32"/>
          <w:highlight w:val="none"/>
          <w:u w:val="none"/>
          <w:shd w:val="clear" w:color="auto" w:fill="auto"/>
        </w:rPr>
        <w:t>“包干制”。</w:t>
      </w:r>
      <w:r>
        <w:rPr>
          <w:rFonts w:hint="eastAsia" w:ascii="仿宋_GB2312" w:eastAsia="仿宋_GB2312"/>
          <w:b w:val="0"/>
          <w:bCs w:val="0"/>
          <w:color w:val="auto"/>
          <w:sz w:val="32"/>
          <w:szCs w:val="32"/>
          <w:highlight w:val="none"/>
          <w:shd w:val="clear" w:color="auto" w:fill="auto"/>
        </w:rPr>
        <w:t>在项目经费资助额度内，不再区分直接经费和间接经费。项目申请人提交申请书和获批项目负责人提交计划</w:t>
      </w:r>
      <w:r>
        <w:rPr>
          <w:rFonts w:ascii="仿宋_GB2312" w:eastAsia="仿宋_GB2312"/>
          <w:b w:val="0"/>
          <w:bCs w:val="0"/>
          <w:color w:val="auto"/>
          <w:sz w:val="32"/>
          <w:szCs w:val="32"/>
          <w:highlight w:val="none"/>
          <w:shd w:val="clear" w:color="auto" w:fill="auto"/>
        </w:rPr>
        <w:t>任务</w:t>
      </w:r>
      <w:r>
        <w:rPr>
          <w:rFonts w:hint="eastAsia" w:ascii="仿宋_GB2312" w:eastAsia="仿宋_GB2312"/>
          <w:b w:val="0"/>
          <w:bCs w:val="0"/>
          <w:color w:val="auto"/>
          <w:sz w:val="32"/>
          <w:szCs w:val="32"/>
          <w:highlight w:val="none"/>
          <w:shd w:val="clear" w:color="auto" w:fill="auto"/>
        </w:rPr>
        <w:t>书时，不再填写项目资金预算等方面内容。经费支出不再设置科目比例限制，由项目负责人和科研团队在规定范围内根据科研实际需要自主决定使用。</w:t>
      </w:r>
      <w:r>
        <w:rPr>
          <w:rFonts w:ascii="仿宋_GB2312" w:eastAsia="仿宋_GB2312"/>
          <w:b w:val="0"/>
          <w:bCs w:val="0"/>
          <w:color w:val="auto"/>
          <w:sz w:val="32"/>
          <w:szCs w:val="32"/>
          <w:highlight w:val="none"/>
          <w:u w:val="none"/>
          <w:shd w:val="clear" w:color="auto" w:fill="auto"/>
        </w:rPr>
        <w:t>项目负责人应合理安排经费使用进度，提高资金使用效率，避免突击花钱，或资金闲置、结余较多</w:t>
      </w:r>
      <w:r>
        <w:rPr>
          <w:rFonts w:ascii="仿宋_GB2312" w:eastAsia="仿宋_GB2312"/>
          <w:b w:val="0"/>
          <w:bCs w:val="0"/>
          <w:color w:val="auto"/>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eastAsia="仿宋_GB2312"/>
          <w:b w:val="0"/>
          <w:bCs w:val="0"/>
          <w:color w:val="auto"/>
          <w:sz w:val="32"/>
          <w:szCs w:val="32"/>
          <w:highlight w:val="none"/>
          <w:shd w:val="clear" w:color="auto" w:fill="auto"/>
        </w:rPr>
      </w:pPr>
      <w:r>
        <w:rPr>
          <w:rFonts w:eastAsia="仿宋_GB2312"/>
          <w:b w:val="0"/>
          <w:bCs w:val="0"/>
          <w:color w:val="auto"/>
          <w:sz w:val="32"/>
          <w:szCs w:val="32"/>
          <w:highlight w:val="none"/>
          <w:u w:val="none"/>
          <w:shd w:val="clear" w:color="auto" w:fill="auto"/>
        </w:rPr>
        <w:t>项目依托单位应严格执行国家有关财经政策和财务制度，完善内部风险防控机制，制定或完善经费使用</w:t>
      </w:r>
      <w:r>
        <w:rPr>
          <w:rFonts w:hint="eastAsia" w:eastAsia="仿宋_GB2312"/>
          <w:b w:val="0"/>
          <w:bCs w:val="0"/>
          <w:color w:val="auto"/>
          <w:sz w:val="32"/>
          <w:szCs w:val="32"/>
          <w:highlight w:val="none"/>
          <w:u w:val="none"/>
          <w:shd w:val="clear" w:color="auto" w:fill="auto"/>
        </w:rPr>
        <w:t>“</w:t>
      </w:r>
      <w:r>
        <w:rPr>
          <w:rFonts w:eastAsia="仿宋_GB2312"/>
          <w:b w:val="0"/>
          <w:bCs w:val="0"/>
          <w:color w:val="auto"/>
          <w:sz w:val="32"/>
          <w:szCs w:val="32"/>
          <w:highlight w:val="none"/>
          <w:u w:val="none"/>
          <w:shd w:val="clear" w:color="auto" w:fill="auto"/>
        </w:rPr>
        <w:t>包干制</w:t>
      </w:r>
      <w:r>
        <w:rPr>
          <w:rFonts w:hint="eastAsia" w:eastAsia="仿宋_GB2312"/>
          <w:b w:val="0"/>
          <w:bCs w:val="0"/>
          <w:color w:val="auto"/>
          <w:sz w:val="32"/>
          <w:szCs w:val="32"/>
          <w:highlight w:val="none"/>
          <w:u w:val="none"/>
          <w:shd w:val="clear" w:color="auto" w:fill="auto"/>
        </w:rPr>
        <w:t>”</w:t>
      </w:r>
      <w:r>
        <w:rPr>
          <w:rFonts w:eastAsia="仿宋_GB2312"/>
          <w:b w:val="0"/>
          <w:bCs w:val="0"/>
          <w:color w:val="auto"/>
          <w:sz w:val="32"/>
          <w:szCs w:val="32"/>
          <w:highlight w:val="none"/>
          <w:u w:val="none"/>
          <w:shd w:val="clear" w:color="auto" w:fill="auto"/>
        </w:rPr>
        <w:t>操作规范或操作流程等管理规定，</w:t>
      </w:r>
      <w:r>
        <w:rPr>
          <w:rFonts w:hint="eastAsia" w:eastAsia="仿宋_GB2312"/>
          <w:b w:val="0"/>
          <w:bCs w:val="0"/>
          <w:color w:val="auto"/>
          <w:sz w:val="32"/>
          <w:szCs w:val="32"/>
          <w:highlight w:val="none"/>
          <w:u w:val="none"/>
          <w:shd w:val="clear" w:color="auto" w:fill="auto"/>
        </w:rPr>
        <w:t>管理规定应当包括经费使用范围和标准、各方责任、违规惩戒措施等内容</w:t>
      </w:r>
      <w:r>
        <w:rPr>
          <w:rFonts w:eastAsia="仿宋_GB2312"/>
          <w:b w:val="0"/>
          <w:bCs w:val="0"/>
          <w:color w:val="auto"/>
          <w:sz w:val="32"/>
          <w:szCs w:val="32"/>
          <w:highlight w:val="none"/>
          <w:u w:val="none"/>
          <w:shd w:val="clear" w:color="auto" w:fill="auto"/>
        </w:rPr>
        <w:t>，报省科技厅备案，并通过官方网站或其他方式向社会公开，接受社会监督</w:t>
      </w:r>
      <w:r>
        <w:rPr>
          <w:rFonts w:eastAsia="仿宋_GB2312"/>
          <w:b w:val="0"/>
          <w:bCs w:val="0"/>
          <w:color w:val="auto"/>
          <w:sz w:val="32"/>
          <w:szCs w:val="32"/>
          <w:highlight w:val="none"/>
          <w:shd w:val="clear" w:color="auto" w:fill="auto"/>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黑体" w:eastAsia="黑体"/>
          <w:b w:val="0"/>
          <w:bCs w:val="0"/>
          <w:color w:val="auto"/>
          <w:sz w:val="32"/>
          <w:szCs w:val="32"/>
          <w:highlight w:val="none"/>
          <w:shd w:val="clear" w:color="auto" w:fill="auto"/>
        </w:rPr>
      </w:pPr>
      <w:r>
        <w:rPr>
          <w:rFonts w:ascii="黑体" w:eastAsia="黑体"/>
          <w:b w:val="0"/>
          <w:bCs w:val="0"/>
          <w:color w:val="auto"/>
          <w:sz w:val="32"/>
          <w:szCs w:val="32"/>
          <w:highlight w:val="none"/>
          <w:shd w:val="clear" w:color="auto" w:fill="auto"/>
        </w:rPr>
        <w:t>五</w:t>
      </w:r>
      <w:r>
        <w:rPr>
          <w:rFonts w:hint="eastAsia" w:ascii="黑体" w:eastAsia="黑体"/>
          <w:b w:val="0"/>
          <w:bCs w:val="0"/>
          <w:color w:val="auto"/>
          <w:sz w:val="32"/>
          <w:szCs w:val="32"/>
          <w:highlight w:val="none"/>
          <w:shd w:val="clear" w:color="auto" w:fill="auto"/>
        </w:rPr>
        <w:t>、科研诚信要求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为加强科研诚信建设，规范省自然科学基金项目申请，保证基础信息真实准确，防范科研不端行为，针对申请书撰写过程中出现的问题，对申请人、参与者和依托单位提出以下科研诚信要求：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eastAsia="楷体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（一）关于个人信息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1.科学基金项目应当由申请人本人申请，严禁冒名申请，严禁编造虚假的申请人及参与者。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2.申请人及参与者应当如实填报个人信息并对其真实性负责；同时，申请人还应当对所有参与者个人信息的真实性负责。严禁伪造或提供虚假信息。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3.申请人及参与者填报的学位信息，应当与学位证书一致；学位获得时间应当以证书日期为准。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4.申请人及参与者应当如实、准确填写正式合规的聘用职称信息，严禁伪造或提供虚假职称信息。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5.申请人及参与者应当如实、规范填写个人履历，严禁伪造或篡改相关信息。</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eastAsia="楷体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（二）关于研究内容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1.申请人应当按照本《指南》、申请书填报说明和撰写提纲的要求填写申请书报告正文，如实填写相关研究工作基础和研究内容等，严禁抄袭剽窃或弄虚作假。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2.申请人及参与者在填写论文、专利和奖励等研究成果时，应当严格按照申请书撰写提纲的要求，规范列出研究成果的所有作者署名，准确标注，不得篡改作者顺序，不得虚假标注第一或通讯作者。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strike/>
          <w:dstrike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3.申请人及参与者应严格遵循科学界公认的学术道德和行为规范，不得使用存在伪造、篡改、抄袭剽窃、委托“第三方”代写或代投以及同行评议造假等科研不端行为的研究成果作为基础申请科学基金项目。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4.申请人不得将已获资助项目重复申请；不得将内容相同或相近的项目，以不同类型项目申请；受聘于一个以上依托单位的申请人，不得将内容相同或相近的项目，通过不同依托单位提出申请；不得将内容相同或相近的项目，以不同申请人的名义提出申请。</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楷体_GB2312" w:eastAsia="楷体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（三）关于责任要求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1.申请人在提交项目申请前，应当就申请材料全部内容征得参与者和合作研究单位同意，</w:t>
      </w:r>
      <w:r>
        <w:rPr>
          <w:rFonts w:ascii="仿宋_GB2312" w:eastAsia="仿宋_GB2312"/>
          <w:b w:val="0"/>
          <w:bCs w:val="0"/>
          <w:color w:val="auto"/>
          <w:sz w:val="32"/>
          <w:szCs w:val="32"/>
          <w:highlight w:val="none"/>
          <w:shd w:val="clear" w:color="auto" w:fill="auto"/>
        </w:rPr>
        <w:t>并将</w:t>
      </w:r>
      <w:r>
        <w:rPr>
          <w:rFonts w:hint="eastAsia" w:ascii="仿宋_GB2312" w:eastAsia="仿宋_GB2312"/>
          <w:b w:val="0"/>
          <w:bCs w:val="0"/>
          <w:color w:val="auto"/>
          <w:sz w:val="32"/>
          <w:szCs w:val="32"/>
          <w:highlight w:val="none"/>
          <w:shd w:val="clear" w:color="auto" w:fill="auto"/>
        </w:rPr>
        <w:t>科研诚信要求告知参与者，确保参与者全面了解申请书相关内容并对所涉及内容的真实性、完整性及合规性负责。</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2.依托单位应当对申请人的申请资格负责，</w:t>
      </w:r>
      <w:r>
        <w:rPr>
          <w:rFonts w:ascii="仿宋_GB2312" w:eastAsia="仿宋_GB2312"/>
          <w:b w:val="0"/>
          <w:bCs w:val="0"/>
          <w:color w:val="auto"/>
          <w:sz w:val="32"/>
          <w:szCs w:val="32"/>
          <w:highlight w:val="none"/>
          <w:u w:val="none"/>
          <w:shd w:val="clear" w:color="auto" w:fill="auto"/>
        </w:rPr>
        <w:t>严禁跨独立法人机构申报，</w:t>
      </w:r>
      <w:r>
        <w:rPr>
          <w:rFonts w:hint="eastAsia" w:ascii="仿宋_GB2312" w:eastAsia="仿宋_GB2312"/>
          <w:b w:val="0"/>
          <w:bCs w:val="0"/>
          <w:color w:val="auto"/>
          <w:sz w:val="32"/>
          <w:szCs w:val="32"/>
          <w:highlight w:val="none"/>
          <w:shd w:val="clear" w:color="auto" w:fill="auto"/>
        </w:rPr>
        <w:t>并对申请材料的真实性、完整性及合规性进行审核。</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eastAsia="仿宋_GB2312"/>
          <w:b w:val="0"/>
          <w:bCs w:val="0"/>
          <w:color w:val="auto"/>
          <w:sz w:val="32"/>
          <w:szCs w:val="32"/>
          <w:highlight w:val="none"/>
          <w:u w:val="none"/>
          <w:shd w:val="clear" w:color="auto" w:fill="auto"/>
        </w:rPr>
      </w:pPr>
      <w:r>
        <w:rPr>
          <w:rFonts w:ascii="仿宋_GB2312" w:eastAsia="仿宋_GB2312"/>
          <w:b w:val="0"/>
          <w:bCs w:val="0"/>
          <w:color w:val="auto"/>
          <w:sz w:val="32"/>
          <w:szCs w:val="32"/>
          <w:highlight w:val="none"/>
          <w:u w:val="none"/>
          <w:shd w:val="clear" w:color="auto" w:fill="auto"/>
        </w:rPr>
        <w:t>3.对涉及科技安全、科技保密的，项目申请单位和组织单位要切实担负起审查监督职责，严格按照规定执行。</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楷体_GB2312" w:eastAsia="楷体_GB2312"/>
          <w:b w:val="0"/>
          <w:bCs w:val="0"/>
          <w:color w:val="auto"/>
          <w:sz w:val="32"/>
          <w:szCs w:val="32"/>
          <w:highlight w:val="none"/>
          <w:shd w:val="clear" w:color="auto" w:fill="auto"/>
        </w:rPr>
      </w:pPr>
      <w:r>
        <w:rPr>
          <w:rFonts w:hint="eastAsia" w:ascii="楷体_GB2312" w:eastAsia="楷体_GB2312"/>
          <w:b w:val="0"/>
          <w:bCs w:val="0"/>
          <w:color w:val="auto"/>
          <w:sz w:val="32"/>
          <w:szCs w:val="32"/>
          <w:highlight w:val="none"/>
          <w:shd w:val="clear" w:color="auto" w:fill="auto"/>
        </w:rPr>
        <w:t>（四）关于责任追究</w:t>
      </w:r>
      <w:bookmarkStart w:id="0" w:name="_GoBack"/>
      <w:bookmarkEnd w:id="0"/>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olor w:val="auto"/>
          <w:sz w:val="32"/>
          <w:szCs w:val="32"/>
          <w:highlight w:val="none"/>
          <w:shd w:val="clear" w:color="auto" w:fill="auto"/>
        </w:rPr>
      </w:pPr>
      <w:r>
        <w:rPr>
          <w:rFonts w:hint="eastAsia" w:ascii="仿宋_GB2312" w:eastAsia="仿宋_GB2312"/>
          <w:b w:val="0"/>
          <w:bCs w:val="0"/>
          <w:color w:val="auto"/>
          <w:sz w:val="32"/>
          <w:szCs w:val="32"/>
          <w:highlight w:val="none"/>
          <w:shd w:val="clear" w:color="auto" w:fill="auto"/>
        </w:rPr>
        <w:t>1.申请人及参与者违反以上要求的，一经发现，省科技厅将按照《办法》和本《指</w:t>
      </w:r>
      <w:r>
        <w:rPr>
          <w:rFonts w:hint="eastAsia" w:ascii="仿宋_GB2312" w:eastAsia="仿宋_GB2312"/>
          <w:color w:val="auto"/>
          <w:sz w:val="32"/>
          <w:szCs w:val="32"/>
          <w:highlight w:val="none"/>
          <w:shd w:val="clear" w:color="auto" w:fill="auto"/>
        </w:rPr>
        <w:t>南》等规定，视情节轻重予以处理；对确有伪造、篡改、抄袭剽窃，以及研究成果存在委托“第三方”代写或代投、同行评议造假等科研不端行为的，将移交省科技厅</w:t>
      </w:r>
      <w:r>
        <w:rPr>
          <w:rFonts w:ascii="仿宋_GB2312" w:eastAsia="仿宋_GB2312"/>
          <w:color w:val="auto"/>
          <w:sz w:val="32"/>
          <w:szCs w:val="32"/>
          <w:highlight w:val="none"/>
          <w:shd w:val="clear" w:color="auto" w:fill="auto"/>
        </w:rPr>
        <w:t>科技安全处（</w:t>
      </w:r>
      <w:r>
        <w:rPr>
          <w:rFonts w:hint="eastAsia" w:ascii="仿宋_GB2312" w:eastAsia="仿宋_GB2312"/>
          <w:color w:val="auto"/>
          <w:sz w:val="32"/>
          <w:szCs w:val="32"/>
          <w:highlight w:val="none"/>
          <w:shd w:val="clear" w:color="auto" w:fill="auto"/>
        </w:rPr>
        <w:t>监督</w:t>
      </w:r>
      <w:r>
        <w:rPr>
          <w:rFonts w:ascii="仿宋_GB2312" w:eastAsia="仿宋_GB2312"/>
          <w:color w:val="auto"/>
          <w:sz w:val="32"/>
          <w:szCs w:val="32"/>
          <w:highlight w:val="none"/>
          <w:shd w:val="clear" w:color="auto" w:fill="auto"/>
        </w:rPr>
        <w:t>评估</w:t>
      </w:r>
      <w:r>
        <w:rPr>
          <w:rFonts w:hint="eastAsia" w:ascii="仿宋_GB2312" w:eastAsia="仿宋_GB2312"/>
          <w:color w:val="auto"/>
          <w:sz w:val="32"/>
          <w:szCs w:val="32"/>
          <w:highlight w:val="none"/>
          <w:shd w:val="clear" w:color="auto" w:fill="auto"/>
        </w:rPr>
        <w:t>与</w:t>
      </w:r>
      <w:r>
        <w:rPr>
          <w:rFonts w:ascii="仿宋_GB2312" w:eastAsia="仿宋_GB2312"/>
          <w:color w:val="auto"/>
          <w:sz w:val="32"/>
          <w:szCs w:val="32"/>
          <w:highlight w:val="none"/>
          <w:shd w:val="clear" w:color="auto" w:fill="auto"/>
        </w:rPr>
        <w:t>科研</w:t>
      </w:r>
      <w:r>
        <w:rPr>
          <w:rFonts w:hint="eastAsia" w:ascii="仿宋_GB2312" w:eastAsia="仿宋_GB2312"/>
          <w:color w:val="auto"/>
          <w:sz w:val="32"/>
          <w:szCs w:val="32"/>
          <w:highlight w:val="none"/>
          <w:shd w:val="clear" w:color="auto" w:fill="auto"/>
        </w:rPr>
        <w:t>诚信处</w:t>
      </w:r>
      <w:r>
        <w:rPr>
          <w:rFonts w:ascii="仿宋_GB2312" w:eastAsia="仿宋_GB2312"/>
          <w:color w:val="auto"/>
          <w:sz w:val="32"/>
          <w:szCs w:val="32"/>
          <w:highlight w:val="none"/>
          <w:shd w:val="clear" w:color="auto" w:fill="auto"/>
        </w:rPr>
        <w:t>）</w:t>
      </w:r>
      <w:r>
        <w:rPr>
          <w:rFonts w:hint="eastAsia" w:ascii="仿宋_GB2312" w:eastAsia="仿宋_GB2312"/>
          <w:color w:val="auto"/>
          <w:sz w:val="32"/>
          <w:szCs w:val="32"/>
          <w:highlight w:val="none"/>
          <w:shd w:val="clear" w:color="auto" w:fill="auto"/>
        </w:rPr>
        <w:t>予以调查与处理，并将调查处理结果通知申请人及参与者所在单位。</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eastAsia="仿宋_GB2312" w:cs="仿宋_GB2312"/>
          <w:color w:val="auto"/>
          <w:sz w:val="32"/>
          <w:szCs w:val="32"/>
          <w:highlight w:val="none"/>
          <w:shd w:val="clear" w:color="auto" w:fill="auto"/>
        </w:rPr>
      </w:pPr>
      <w:r>
        <w:rPr>
          <w:rFonts w:hint="eastAsia" w:ascii="仿宋_GB2312" w:eastAsia="仿宋_GB2312"/>
          <w:color w:val="auto"/>
          <w:sz w:val="32"/>
          <w:szCs w:val="32"/>
          <w:highlight w:val="none"/>
          <w:shd w:val="clear" w:color="auto" w:fill="auto"/>
        </w:rPr>
        <w:t>2.依托单位疏于管理，未按要求对申请材料的真实性、完整性及合规性履行审查职责的，省科技厅将按照《办法》、本《指南》等规定，视情节轻重给予相应处理。</w:t>
      </w:r>
    </w:p>
    <w:sectPr>
      <w:footerReference r:id="rId3" w:type="default"/>
      <w:pgSz w:w="11906" w:h="16838"/>
      <w:pgMar w:top="2098" w:right="1474" w:bottom="1984" w:left="1587" w:header="851" w:footer="992" w:gutter="0"/>
      <w:pgNumType w:fmt="decimal"/>
      <w:cols w:space="720" w:num="1"/>
      <w:rtlGutter w:val="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方正书宋_GBK"/>
    <w:panose1 w:val="00000000000000000000"/>
    <w:charset w:val="86"/>
    <w:family w:val="auto"/>
    <w:pitch w:val="default"/>
    <w:sig w:usb0="00000000" w:usb1="00000000" w:usb2="00000000" w:usb3="00000000" w:csb0="00040001" w:csb1="00000000"/>
  </w:font>
  <w:font w:name="Wingdings">
    <w:panose1 w:val="05000000000000000000"/>
    <w:charset w:val="02"/>
    <w:family w:val="auto"/>
    <w:pitch w:val="default"/>
    <w:sig w:usb0="00000000" w:usb1="00000000" w:usb2="00000000" w:usb3="00000000" w:csb0="80000000" w:csb1="00000000"/>
  </w:font>
  <w:font w:name="Arial">
    <w:altName w:val="Times New Roman"/>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DejaVu Sans"/>
    <w:panose1 w:val="020F0502020204030204"/>
    <w:charset w:val="00"/>
    <w:family w:val="swiss"/>
    <w:pitch w:val="default"/>
    <w:sig w:usb0="00000000" w:usb1="00000000" w:usb2="00000001" w:usb3="00000000" w:csb0="0000019F" w:csb1="00000000"/>
  </w:font>
  <w:font w:name="Lucida Sans">
    <w:altName w:val="DejaVu Sans"/>
    <w:panose1 w:val="020B0602030504020204"/>
    <w:charset w:val="00"/>
    <w:family w:val="auto"/>
    <w:pitch w:val="default"/>
    <w:sig w:usb0="00000000" w:usb1="00000000" w:usb2="00000000" w:usb3="00000000" w:csb0="20000001" w:csb1="00000000"/>
  </w:font>
  <w:font w:name="方正兰亭黑_GBK">
    <w:panose1 w:val="02000000000000000000"/>
    <w:charset w:val="86"/>
    <w:family w:val="script"/>
    <w:pitch w:val="default"/>
    <w:sig w:usb0="A00002BF" w:usb1="3ACF7CFA" w:usb2="00080016" w:usb3="00000000" w:csb0="00040001" w:csb1="00000000"/>
  </w:font>
  <w:font w:name="方正小标宋简体">
    <w:panose1 w:val="02000000000000000000"/>
    <w:charset w:val="86"/>
    <w:family w:val="script"/>
    <w:pitch w:val="default"/>
    <w:sig w:usb0="A00002BF" w:usb1="184F6CFA" w:usb2="00000012" w:usb3="00000000" w:csb0="00040001"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 w:name="方正书宋_GBK">
    <w:panose1 w:val="02000000000000000000"/>
    <w:charset w:val="86"/>
    <w:family w:val="auto"/>
    <w:pitch w:val="default"/>
    <w:sig w:usb0="00000001" w:usb1="08000000" w:usb2="00000000" w:usb3="00000000" w:csb0="00040000" w:csb1="00000000"/>
  </w:font>
  <w:font w:name="DejaVu Sans">
    <w:panose1 w:val="020B0603030804020204"/>
    <w:charset w:val="00"/>
    <w:family w:val="auto"/>
    <w:pitch w:val="default"/>
    <w:sig w:usb0="E7006EFF" w:usb1="D200FDFF" w:usb2="0A246029" w:usb3="0400200C" w:csb0="600001FF" w:csb1="DFFF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mc:AlternateContent>
        <mc:Choice Requires="wps">
          <w:drawing>
            <wp:anchor distT="0" distB="0" distL="113665" distR="113665" simplePos="0" relativeHeight="1024" behindDoc="0" locked="0" layoutInCell="1" allowOverlap="1">
              <wp:simplePos x="0" y="0"/>
              <wp:positionH relativeFrom="margin">
                <wp:align>center</wp:align>
              </wp:positionH>
              <wp:positionV relativeFrom="paragraph">
                <wp:posOffset>-9928860</wp:posOffset>
              </wp:positionV>
              <wp:extent cx="145415" cy="133350"/>
              <wp:effectExtent l="0" t="0" r="0" b="0"/>
              <wp:wrapNone/>
              <wp:docPr id="1" name="文本框 1"/>
              <wp:cNvGraphicFramePr/>
              <a:graphic xmlns:a="http://schemas.openxmlformats.org/drawingml/2006/main">
                <a:graphicData uri="http://schemas.microsoft.com/office/word/2010/wordprocessingShape">
                  <wps:wsp>
                    <wps:cNvSpPr/>
                    <wps:spPr>
                      <a:xfrm>
                        <a:off x="0" y="0"/>
                        <a:ext cx="145389" cy="133159"/>
                      </a:xfrm>
                      <a:prstGeom prst="rect">
                        <a:avLst/>
                      </a:prstGeom>
                      <a:noFill/>
                      <a:ln w="9525" cap="flat" cmpd="sng">
                        <a:noFill/>
                        <a:prstDash val="solid"/>
                        <a:round/>
                      </a:ln>
                    </wps:spPr>
                    <wps:txbx>
                      <w:txbxContent>
                        <w:p>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wps:txbx>
                    <wps:bodyPr vert="horz" wrap="none" lIns="0" tIns="0" rIns="0" bIns="0" anchor="t" anchorCtr="0" upright="1">
                      <a:spAutoFit/>
                    </wps:bodyPr>
                  </wps:wsp>
                </a:graphicData>
              </a:graphic>
            </wp:anchor>
          </w:drawing>
        </mc:Choice>
        <mc:Fallback>
          <w:pict>
            <v:rect id="文本框 1" o:spid="_x0000_s1026" o:spt="1" style="position:absolute;left:0pt;margin-top:-781.8pt;height:10.5pt;width:11.45pt;mso-position-horizontal:center;mso-position-horizontal-relative:margin;mso-wrap-style:none;z-index:1024;mso-width-relative:page;mso-height-relative:page;" filled="f" stroked="f" coordsize="21600,21600" o:gfxdata="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">
              <v:fill on="f" focussize="0,0"/>
              <v:stroke on="f" joinstyle="round"/>
              <v:imagedata o:title=""/>
              <o:lock v:ext="edit" aspectratio="f"/>
              <v:textbox inset="0mm,0mm,0mm,0mm" style="mso-fit-shape-to-text:t;">
                <w:txbxContent>
                  <w:p>
                    <w:pPr>
                      <w:pStyle w:val="5"/>
                      <w:rPr>
                        <w:rFonts w:hint="eastAsia"/>
                      </w:rPr>
                    </w:pPr>
                    <w:r>
                      <w:rPr>
                        <w:rFonts w:hint="eastAsia"/>
                      </w:rPr>
                      <w:fldChar w:fldCharType="begin"/>
                    </w:r>
                    <w:r>
                      <w:rPr>
                        <w:rFonts w:hint="eastAsia"/>
                      </w:rPr>
                      <w:instrText xml:space="preserve"> PAGE  \* MERGEFORMAT </w:instrText>
                    </w:r>
                    <w:r>
                      <w:rPr>
                        <w:rFonts w:hint="eastAsia"/>
                      </w:rPr>
                      <w:fldChar w:fldCharType="separate"/>
                    </w:r>
                    <w:r>
                      <w:t>4</w:t>
                    </w:r>
                    <w:r>
                      <w:rPr>
                        <w:rFonts w:hint="eastAsia"/>
                      </w:rPr>
                      <w:fldChar w:fldCharType="end"/>
                    </w:r>
                  </w:p>
                </w:txbxContent>
              </v:textbox>
            </v:rect>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1"/>
  <w:bordersDoNotSurroundFooter w:val="1"/>
  <w:documentProtection w:edit="readOnly"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ulTrailSpace/>
    <w:doNotExpandShiftReturn/>
    <w:adjustLineHeightInTable/>
    <w:useFELayout/>
    <w:compatSetting w:name="compatibilityMode" w:uri="http://schemas.microsoft.com/office/word" w:val="14"/>
  </w:compat>
  <w:rsids>
    <w:rsidRoot w:val="00000000"/>
    <w:rsid w:val="0FEFFF35"/>
    <w:rsid w:val="53EFC8B7"/>
    <w:rsid w:val="5F5ED88B"/>
    <w:rsid w:val="7B5F0AA4"/>
    <w:rsid w:val="7FFF4E46"/>
    <w:rsid w:val="B6BE628F"/>
    <w:rsid w:val="BE7F8234"/>
    <w:rsid w:val="BFE2C06F"/>
    <w:rsid w:val="F5DE1B13"/>
    <w:rsid w:val="FFDD603A"/>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Lucida Sans"/>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qFormat/>
    <w:uiPriority w:val="0"/>
    <w:pPr>
      <w:keepNext/>
      <w:keepLines/>
      <w:widowControl w:val="0"/>
      <w:spacing w:before="340" w:after="330" w:line="578" w:lineRule="auto"/>
      <w:outlineLvl w:val="0"/>
    </w:pPr>
    <w:rPr>
      <w:b/>
      <w:bCs/>
      <w:kern w:val="44"/>
      <w:sz w:val="44"/>
      <w:szCs w:val="44"/>
    </w:rPr>
  </w:style>
  <w:style w:type="paragraph" w:styleId="3">
    <w:name w:val="heading 2"/>
    <w:basedOn w:val="1"/>
    <w:next w:val="1"/>
    <w:qFormat/>
    <w:uiPriority w:val="0"/>
    <w:pPr>
      <w:keepNext/>
      <w:keepLines/>
      <w:widowControl w:val="0"/>
      <w:spacing w:before="260" w:after="260" w:line="415" w:lineRule="auto"/>
      <w:outlineLvl w:val="1"/>
    </w:pPr>
    <w:rPr>
      <w:rFonts w:ascii="方正兰亭黑_GBK" w:hAnsi="方正兰亭黑_GBK" w:eastAsia="黑体"/>
      <w:b/>
      <w:bCs/>
      <w:sz w:val="32"/>
      <w:szCs w:val="32"/>
    </w:rPr>
  </w:style>
  <w:style w:type="paragraph" w:styleId="4">
    <w:name w:val="heading 3"/>
    <w:basedOn w:val="1"/>
    <w:next w:val="1"/>
    <w:qFormat/>
    <w:uiPriority w:val="0"/>
    <w:pPr>
      <w:keepNext/>
      <w:keepLines/>
      <w:widowControl w:val="0"/>
      <w:spacing w:before="260" w:after="260" w:line="415" w:lineRule="auto"/>
      <w:outlineLvl w:val="2"/>
    </w:pPr>
    <w:rPr>
      <w:b/>
      <w:bCs/>
      <w:sz w:val="32"/>
      <w:szCs w:val="32"/>
    </w:rPr>
  </w:style>
  <w:style w:type="character" w:default="1" w:styleId="10">
    <w:name w:val="Default Paragraph Font"/>
    <w:qFormat/>
    <w:uiPriority w:val="0"/>
  </w:style>
  <w:style w:type="table" w:default="1" w:styleId="9">
    <w:name w:val="Normal Table"/>
    <w:semiHidden/>
    <w:qFormat/>
    <w:uiPriority w:val="0"/>
    <w:tblPr>
      <w:tblCellMar>
        <w:top w:w="0" w:type="dxa"/>
        <w:left w:w="108" w:type="dxa"/>
        <w:bottom w:w="0" w:type="dxa"/>
        <w:right w:w="108" w:type="dxa"/>
      </w:tblCellMar>
    </w:tblPr>
  </w:style>
  <w:style w:type="paragraph" w:styleId="5">
    <w:name w:val="footer"/>
    <w:basedOn w:val="1"/>
    <w:qFormat/>
    <w:uiPriority w:val="0"/>
    <w:pPr>
      <w:tabs>
        <w:tab w:val="center" w:pos="4153"/>
        <w:tab w:val="right" w:pos="8306"/>
      </w:tabs>
      <w:snapToGrid w:val="0"/>
      <w:jc w:val="left"/>
    </w:pPr>
    <w:rPr>
      <w:sz w:val="18"/>
      <w:szCs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HTML Preformatted"/>
    <w:basedOn w:val="1"/>
    <w:qFormat/>
    <w:uiPriority w:val="0"/>
    <w:rPr>
      <w:rFonts w:ascii="Courier New" w:hAnsi="Courier New"/>
      <w:sz w:val="20"/>
      <w:szCs w:val="20"/>
    </w:rPr>
  </w:style>
  <w:style w:type="paragraph" w:styleId="8">
    <w:name w:val="Normal (Web)"/>
    <w:basedOn w:val="1"/>
    <w:qFormat/>
    <w:uiPriority w:val="0"/>
    <w:pPr>
      <w:widowControl w:val="0"/>
      <w:spacing w:beforeAutospacing="1" w:afterAutospacing="1"/>
      <w:jc w:val="left"/>
    </w:pPr>
    <w:rPr>
      <w:rFonts w:ascii="Calibri" w:hAnsi="Calibri" w:eastAsia="宋体" w:cs="Times New Roman"/>
      <w:kern w:val="0"/>
      <w:sz w:val="24"/>
      <w:szCs w:val="24"/>
      <w:lang w:val="en-US" w:eastAsia="zh-CN" w:bidi="ar-SA"/>
    </w:rPr>
  </w:style>
  <w:style w:type="character" w:styleId="11">
    <w:name w:val="Strong"/>
    <w:qFormat/>
    <w:uiPriority w:val="0"/>
    <w:rPr>
      <w:b/>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Normal.eit</Template>
  <Pages>14</Pages>
  <Words>0</Words>
  <Characters>5085</Characters>
  <Lines>0</Lines>
  <Paragraphs>114</Paragraphs>
  <TotalTime>154</TotalTime>
  <ScaleCrop>false</ScaleCrop>
  <LinksUpToDate>false</LinksUpToDate>
  <CharactersWithSpaces>6781</CharactersWithSpaces>
  <Application>WPS Office_11.8.2.9339_F1E327BC-269C-435d-A152-05C5408002CA</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2024-02-09T19:09:00Z</dcterms:created>
  <dc:creator>greatwall</dc:creator>
  <cp:lastModifiedBy>greatwall</cp:lastModifiedBy>
  <cp:lastPrinted>2026-10-08T13:46:51Z</cp:lastPrinted>
  <dcterms:modified xsi:type="dcterms:W3CDTF">2026-10-08T14:07:14Z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2052-11.8.2.9339</vt:lpwstr>
  </property>
</Properties>
</file>